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F7" w:rsidRDefault="00C83BF7">
      <w:pPr>
        <w:spacing w:line="440" w:lineRule="exact"/>
        <w:jc w:val="center"/>
        <w:rPr>
          <w:rFonts w:eastAsia="仿宋_GB2312"/>
          <w:b/>
          <w:bCs/>
          <w:sz w:val="32"/>
          <w:szCs w:val="32"/>
        </w:rPr>
      </w:pPr>
    </w:p>
    <w:p w:rsidR="00C83BF7" w:rsidRDefault="00C83BF7">
      <w:pPr>
        <w:spacing w:line="440" w:lineRule="exact"/>
        <w:jc w:val="center"/>
        <w:rPr>
          <w:rFonts w:eastAsia="仿宋_GB2312"/>
          <w:b/>
          <w:bCs/>
          <w:sz w:val="32"/>
          <w:szCs w:val="32"/>
        </w:rPr>
      </w:pPr>
    </w:p>
    <w:p w:rsidR="00C83BF7" w:rsidRDefault="00C83BF7">
      <w:pPr>
        <w:spacing w:line="440" w:lineRule="exact"/>
        <w:jc w:val="center"/>
        <w:rPr>
          <w:rFonts w:eastAsia="仿宋_GB2312"/>
          <w:b/>
          <w:bCs/>
          <w:sz w:val="32"/>
          <w:szCs w:val="32"/>
        </w:rPr>
      </w:pPr>
    </w:p>
    <w:p w:rsidR="00C83BF7" w:rsidRDefault="00C83BF7">
      <w:pPr>
        <w:spacing w:line="440" w:lineRule="exact"/>
        <w:jc w:val="center"/>
        <w:rPr>
          <w:rFonts w:eastAsia="仿宋_GB2312"/>
          <w:b/>
          <w:bCs/>
          <w:sz w:val="32"/>
          <w:szCs w:val="32"/>
        </w:rPr>
      </w:pPr>
    </w:p>
    <w:p w:rsidR="00C83BF7" w:rsidRDefault="00C83BF7">
      <w:pPr>
        <w:spacing w:line="440" w:lineRule="exact"/>
        <w:jc w:val="center"/>
        <w:rPr>
          <w:rFonts w:eastAsia="仿宋_GB2312"/>
          <w:b/>
          <w:bCs/>
          <w:sz w:val="32"/>
          <w:szCs w:val="32"/>
        </w:rPr>
      </w:pPr>
    </w:p>
    <w:p w:rsidR="00C83BF7" w:rsidRDefault="00C83BF7" w:rsidP="00B15EF4">
      <w:pPr>
        <w:spacing w:line="480" w:lineRule="exact"/>
        <w:jc w:val="center"/>
        <w:rPr>
          <w:rFonts w:eastAsia="仿宋_GB2312"/>
          <w:b/>
          <w:bCs/>
          <w:sz w:val="32"/>
          <w:szCs w:val="32"/>
        </w:rPr>
      </w:pPr>
    </w:p>
    <w:p w:rsidR="00C83BF7" w:rsidRDefault="00C83BF7" w:rsidP="00B15EF4">
      <w:pPr>
        <w:spacing w:line="480" w:lineRule="exact"/>
        <w:jc w:val="center"/>
        <w:rPr>
          <w:rFonts w:eastAsia="仿宋_GB2312"/>
          <w:b/>
          <w:bCs/>
          <w:sz w:val="32"/>
          <w:szCs w:val="32"/>
        </w:rPr>
      </w:pPr>
    </w:p>
    <w:p w:rsidR="00C83BF7" w:rsidRDefault="00C83BF7" w:rsidP="00B15EF4">
      <w:pPr>
        <w:spacing w:line="480" w:lineRule="exact"/>
        <w:jc w:val="center"/>
        <w:rPr>
          <w:rFonts w:eastAsia="仿宋_GB2312"/>
          <w:b/>
          <w:bCs/>
          <w:sz w:val="32"/>
          <w:szCs w:val="32"/>
        </w:rPr>
      </w:pPr>
    </w:p>
    <w:p w:rsidR="00C83BF7" w:rsidRDefault="00C83BF7">
      <w:pPr>
        <w:spacing w:line="520" w:lineRule="exact"/>
        <w:jc w:val="center"/>
        <w:rPr>
          <w:rFonts w:eastAsia="仿宋_GB2312"/>
          <w:b/>
          <w:bCs/>
          <w:sz w:val="32"/>
          <w:szCs w:val="32"/>
        </w:rPr>
      </w:pPr>
    </w:p>
    <w:p w:rsidR="00C83BF7" w:rsidRDefault="00C83BF7">
      <w:pPr>
        <w:spacing w:line="500" w:lineRule="exact"/>
        <w:jc w:val="center"/>
        <w:rPr>
          <w:rFonts w:eastAsia="仿宋_GB2312"/>
          <w:b/>
          <w:bCs/>
          <w:sz w:val="32"/>
          <w:szCs w:val="32"/>
        </w:rPr>
      </w:pPr>
    </w:p>
    <w:p w:rsidR="00C83BF7" w:rsidRDefault="004E7993">
      <w:pPr>
        <w:spacing w:line="500" w:lineRule="exact"/>
        <w:jc w:val="center"/>
        <w:rPr>
          <w:rFonts w:eastAsia="仿宋_GB2312"/>
          <w:bCs/>
          <w:sz w:val="32"/>
          <w:szCs w:val="32"/>
        </w:rPr>
      </w:pPr>
      <w:bookmarkStart w:id="0" w:name="OLE_LINK1"/>
      <w:proofErr w:type="gramStart"/>
      <w:r>
        <w:rPr>
          <w:rFonts w:eastAsia="仿宋_GB2312"/>
          <w:bCs/>
          <w:sz w:val="32"/>
          <w:szCs w:val="32"/>
        </w:rPr>
        <w:t>瓯自然资告〔</w:t>
      </w:r>
      <w:r>
        <w:rPr>
          <w:rFonts w:eastAsia="仿宋_GB2312"/>
          <w:bCs/>
          <w:sz w:val="32"/>
          <w:szCs w:val="32"/>
        </w:rPr>
        <w:t>202</w:t>
      </w:r>
      <w:r>
        <w:rPr>
          <w:rFonts w:eastAsia="仿宋_GB2312" w:hint="eastAsia"/>
          <w:bCs/>
          <w:sz w:val="32"/>
          <w:szCs w:val="32"/>
        </w:rPr>
        <w:t>4</w:t>
      </w:r>
      <w:r>
        <w:rPr>
          <w:rFonts w:eastAsia="仿宋_GB2312"/>
          <w:bCs/>
          <w:sz w:val="32"/>
          <w:szCs w:val="32"/>
        </w:rPr>
        <w:t>〕</w:t>
      </w:r>
      <w:proofErr w:type="gramEnd"/>
      <w:r w:rsidR="00B15EF4">
        <w:rPr>
          <w:rFonts w:eastAsia="仿宋_GB2312" w:hint="eastAsia"/>
          <w:bCs/>
          <w:sz w:val="32"/>
          <w:szCs w:val="32"/>
        </w:rPr>
        <w:t>15</w:t>
      </w:r>
      <w:r>
        <w:rPr>
          <w:rFonts w:eastAsia="仿宋_GB2312"/>
          <w:bCs/>
          <w:sz w:val="32"/>
          <w:szCs w:val="32"/>
        </w:rPr>
        <w:t>号</w:t>
      </w:r>
    </w:p>
    <w:p w:rsidR="00C83BF7" w:rsidRDefault="00C83BF7">
      <w:pPr>
        <w:spacing w:line="600" w:lineRule="exact"/>
        <w:jc w:val="center"/>
        <w:rPr>
          <w:rFonts w:eastAsia="仿宋_GB2312"/>
          <w:b/>
          <w:bCs/>
          <w:sz w:val="32"/>
          <w:szCs w:val="32"/>
        </w:rPr>
      </w:pPr>
    </w:p>
    <w:p w:rsidR="00C83BF7" w:rsidRDefault="004E7993">
      <w:pPr>
        <w:spacing w:line="720" w:lineRule="exact"/>
        <w:jc w:val="center"/>
        <w:rPr>
          <w:rFonts w:eastAsia="方正小标宋简体"/>
          <w:bCs/>
          <w:sz w:val="40"/>
        </w:rPr>
      </w:pPr>
      <w:r>
        <w:rPr>
          <w:rFonts w:eastAsia="方正小标宋简体" w:hAnsi="方正小标宋简体"/>
          <w:bCs/>
          <w:sz w:val="44"/>
          <w:szCs w:val="44"/>
        </w:rPr>
        <w:t>建瓯市自然资源</w:t>
      </w:r>
      <w:proofErr w:type="gramStart"/>
      <w:r>
        <w:rPr>
          <w:rFonts w:eastAsia="方正小标宋简体" w:hAnsi="方正小标宋简体"/>
          <w:bCs/>
          <w:sz w:val="44"/>
          <w:szCs w:val="44"/>
        </w:rPr>
        <w:t>局</w:t>
      </w:r>
      <w:r>
        <w:rPr>
          <w:rFonts w:eastAsia="方正小标宋简体" w:hAnsi="方正小标宋简体" w:hint="eastAsia"/>
          <w:bCs/>
          <w:sz w:val="44"/>
          <w:szCs w:val="44"/>
        </w:rPr>
        <w:t>农村</w:t>
      </w:r>
      <w:proofErr w:type="gramEnd"/>
      <w:r>
        <w:rPr>
          <w:rFonts w:ascii="方正小标宋简体" w:eastAsia="方正小标宋简体" w:hAnsi="黑体" w:cs="黑体" w:hint="eastAsia"/>
          <w:bCs/>
          <w:sz w:val="44"/>
          <w:szCs w:val="44"/>
          <w:lang w:val="zh-CN" w:bidi="zh-CN"/>
        </w:rPr>
        <w:t>集体经营性建设用地使用权</w:t>
      </w:r>
      <w:r>
        <w:rPr>
          <w:rFonts w:eastAsia="方正小标宋简体" w:hAnsi="方正小标宋简体"/>
          <w:bCs/>
          <w:sz w:val="44"/>
          <w:szCs w:val="44"/>
        </w:rPr>
        <w:t>拍卖出让公告</w:t>
      </w:r>
    </w:p>
    <w:p w:rsidR="00C83BF7" w:rsidRDefault="00C83BF7">
      <w:pPr>
        <w:autoSpaceDE w:val="0"/>
        <w:autoSpaceDN w:val="0"/>
        <w:adjustRightInd w:val="0"/>
        <w:spacing w:line="440" w:lineRule="exact"/>
        <w:jc w:val="center"/>
        <w:rPr>
          <w:rFonts w:eastAsia="方正小标宋简体"/>
          <w:bCs/>
          <w:sz w:val="40"/>
        </w:rPr>
      </w:pPr>
    </w:p>
    <w:p w:rsidR="00C83BF7" w:rsidRDefault="004E799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经建瓯市人民政府</w:t>
      </w:r>
      <w:r>
        <w:rPr>
          <w:rFonts w:eastAsia="仿宋_GB2312" w:hint="eastAsia"/>
          <w:sz w:val="32"/>
          <w:szCs w:val="32"/>
        </w:rPr>
        <w:t>批准</w:t>
      </w:r>
      <w:r>
        <w:rPr>
          <w:rFonts w:eastAsia="仿宋_GB2312"/>
          <w:sz w:val="32"/>
          <w:szCs w:val="32"/>
        </w:rPr>
        <w:t>，建瓯市自然资源局</w:t>
      </w:r>
      <w:r>
        <w:rPr>
          <w:rFonts w:eastAsia="仿宋_GB2312" w:hint="eastAsia"/>
          <w:sz w:val="32"/>
          <w:szCs w:val="32"/>
        </w:rPr>
        <w:t>受出让人</w:t>
      </w:r>
      <w:r>
        <w:rPr>
          <w:rFonts w:eastAsia="仿宋_GB2312" w:hint="eastAsia"/>
          <w:sz w:val="32"/>
        </w:rPr>
        <w:t>建瓯市房</w:t>
      </w:r>
      <w:proofErr w:type="gramStart"/>
      <w:r>
        <w:rPr>
          <w:rFonts w:eastAsia="仿宋_GB2312" w:hint="eastAsia"/>
          <w:sz w:val="32"/>
        </w:rPr>
        <w:t>道镇房道</w:t>
      </w:r>
      <w:proofErr w:type="gramEnd"/>
      <w:r>
        <w:rPr>
          <w:rFonts w:eastAsia="仿宋_GB2312" w:hint="eastAsia"/>
          <w:sz w:val="32"/>
        </w:rPr>
        <w:t>村民委员会和</w:t>
      </w:r>
      <w:proofErr w:type="gramStart"/>
      <w:r w:rsidRPr="00B15EF4">
        <w:rPr>
          <w:rFonts w:eastAsia="仿宋_GB2312" w:hint="eastAsia"/>
          <w:sz w:val="32"/>
        </w:rPr>
        <w:t>徐墩</w:t>
      </w:r>
      <w:proofErr w:type="gramEnd"/>
      <w:r w:rsidRPr="00B15EF4">
        <w:rPr>
          <w:rFonts w:eastAsia="仿宋_GB2312" w:hint="eastAsia"/>
          <w:sz w:val="32"/>
        </w:rPr>
        <w:t>镇桂美村民委员会委托，</w:t>
      </w:r>
      <w:r w:rsidRPr="00B15EF4">
        <w:rPr>
          <w:rFonts w:eastAsia="仿宋_GB2312"/>
          <w:sz w:val="32"/>
        </w:rPr>
        <w:t>以拍卖方式</w:t>
      </w:r>
      <w:r w:rsidRPr="00B15EF4">
        <w:rPr>
          <w:rFonts w:eastAsia="仿宋_GB2312" w:hint="eastAsia"/>
          <w:sz w:val="32"/>
        </w:rPr>
        <w:t>公开</w:t>
      </w:r>
      <w:r w:rsidRPr="00B15EF4">
        <w:rPr>
          <w:rFonts w:eastAsia="仿宋_GB2312"/>
          <w:sz w:val="32"/>
        </w:rPr>
        <w:t>出</w:t>
      </w:r>
      <w:r>
        <w:rPr>
          <w:rFonts w:eastAsia="仿宋_GB2312"/>
          <w:sz w:val="32"/>
          <w:szCs w:val="32"/>
        </w:rPr>
        <w:t>让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（幅）地块的</w:t>
      </w:r>
      <w:r>
        <w:rPr>
          <w:rFonts w:eastAsia="仿宋_GB2312" w:hint="eastAsia"/>
          <w:sz w:val="32"/>
          <w:szCs w:val="32"/>
          <w:lang w:val="zh-CN"/>
        </w:rPr>
        <w:t>集体经营性建设用地使用权</w:t>
      </w:r>
      <w:r>
        <w:rPr>
          <w:rFonts w:eastAsia="仿宋_GB2312"/>
          <w:sz w:val="32"/>
          <w:szCs w:val="32"/>
        </w:rPr>
        <w:t>。现将有关事项公告如下：</w:t>
      </w:r>
    </w:p>
    <w:p w:rsidR="00C83BF7" w:rsidRDefault="004E7993">
      <w:pPr>
        <w:widowControl/>
        <w:spacing w:line="440" w:lineRule="exact"/>
        <w:ind w:firstLineChars="200" w:firstLine="643"/>
        <w:jc w:val="left"/>
        <w:rPr>
          <w:rFonts w:eastAsia="黑体"/>
          <w:sz w:val="32"/>
          <w:szCs w:val="32"/>
        </w:rPr>
      </w:pPr>
      <w:r>
        <w:rPr>
          <w:rFonts w:eastAsia="黑体" w:hAnsi="黑体"/>
          <w:b/>
          <w:sz w:val="32"/>
          <w:szCs w:val="32"/>
        </w:rPr>
        <w:t>一、</w:t>
      </w:r>
      <w:r>
        <w:rPr>
          <w:rFonts w:eastAsia="黑体" w:hAnsi="黑体"/>
          <w:sz w:val="32"/>
          <w:szCs w:val="32"/>
        </w:rPr>
        <w:t>本次拍卖出让地块的基本情况和主要规划指标（详见</w:t>
      </w:r>
      <w:r>
        <w:rPr>
          <w:rFonts w:eastAsia="黑体" w:hAnsi="黑体" w:hint="eastAsia"/>
          <w:sz w:val="32"/>
          <w:szCs w:val="32"/>
        </w:rPr>
        <w:t>附件</w:t>
      </w:r>
      <w:r>
        <w:rPr>
          <w:rFonts w:eastAsia="黑体" w:hAnsi="黑体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 w:rsidR="00C83BF7" w:rsidRDefault="004E7993">
      <w:pPr>
        <w:spacing w:line="5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黑体" w:hAnsi="黑体"/>
          <w:b/>
          <w:sz w:val="32"/>
          <w:szCs w:val="32"/>
        </w:rPr>
        <w:t>二</w:t>
      </w:r>
      <w:r>
        <w:rPr>
          <w:rFonts w:eastAsia="黑体" w:hAnsi="黑体"/>
          <w:sz w:val="32"/>
          <w:szCs w:val="32"/>
        </w:rPr>
        <w:t>、中华人民共和国境内外的自然人、法人和其它组织，除法律、法规另有规定外，</w:t>
      </w:r>
      <w:r w:rsidRPr="00182199">
        <w:rPr>
          <w:rFonts w:eastAsia="黑体" w:hAnsi="黑体" w:hint="eastAsia"/>
          <w:sz w:val="32"/>
          <w:szCs w:val="32"/>
        </w:rPr>
        <w:t>在规定时间内</w:t>
      </w:r>
      <w:r>
        <w:rPr>
          <w:rFonts w:eastAsia="黑体" w:hAnsi="黑体"/>
          <w:sz w:val="32"/>
          <w:szCs w:val="32"/>
        </w:rPr>
        <w:t>均可申请参加本次</w:t>
      </w:r>
      <w:r>
        <w:rPr>
          <w:rFonts w:eastAsia="黑体" w:hAnsi="黑体" w:hint="eastAsia"/>
          <w:sz w:val="32"/>
          <w:szCs w:val="32"/>
          <w:lang w:val="zh-CN"/>
        </w:rPr>
        <w:t>集体经营性建设用地使用权</w:t>
      </w:r>
      <w:r>
        <w:rPr>
          <w:rFonts w:eastAsia="黑体" w:hAnsi="黑体"/>
          <w:sz w:val="32"/>
          <w:szCs w:val="32"/>
        </w:rPr>
        <w:t>竞买活动。</w:t>
      </w:r>
      <w:r>
        <w:rPr>
          <w:rFonts w:eastAsia="仿宋_GB2312"/>
          <w:sz w:val="32"/>
          <w:szCs w:val="32"/>
        </w:rPr>
        <w:t>本次拍卖出让只接受单独申请，不接受联合申请。</w:t>
      </w:r>
    </w:p>
    <w:p w:rsidR="00C83BF7" w:rsidRDefault="004E7993">
      <w:pPr>
        <w:spacing w:line="500" w:lineRule="exact"/>
        <w:ind w:firstLineChars="200" w:firstLine="643"/>
        <w:rPr>
          <w:rFonts w:eastAsia="黑体"/>
          <w:sz w:val="32"/>
          <w:szCs w:val="32"/>
        </w:rPr>
      </w:pPr>
      <w:r>
        <w:rPr>
          <w:rFonts w:eastAsia="黑体" w:hAnsi="黑体"/>
          <w:b/>
          <w:sz w:val="32"/>
          <w:szCs w:val="32"/>
        </w:rPr>
        <w:t>三、</w:t>
      </w:r>
      <w:r>
        <w:rPr>
          <w:rFonts w:eastAsia="黑体" w:hAnsi="黑体"/>
          <w:sz w:val="32"/>
          <w:szCs w:val="32"/>
        </w:rPr>
        <w:t>本次</w:t>
      </w:r>
      <w:r>
        <w:rPr>
          <w:rFonts w:eastAsia="黑体" w:hAnsi="黑体" w:hint="eastAsia"/>
          <w:sz w:val="32"/>
          <w:szCs w:val="32"/>
        </w:rPr>
        <w:t>农村</w:t>
      </w:r>
      <w:r>
        <w:rPr>
          <w:rFonts w:eastAsia="黑体" w:hAnsi="黑体" w:hint="eastAsia"/>
          <w:sz w:val="32"/>
          <w:szCs w:val="32"/>
          <w:lang w:val="zh-CN"/>
        </w:rPr>
        <w:t>集体经营性建设用地使用权</w:t>
      </w:r>
      <w:r>
        <w:rPr>
          <w:rFonts w:eastAsia="黑体" w:hAnsi="黑体"/>
          <w:sz w:val="32"/>
          <w:szCs w:val="32"/>
        </w:rPr>
        <w:t>拍卖出让按照价高者得原则确定竞得人。</w:t>
      </w:r>
    </w:p>
    <w:p w:rsidR="00C83BF7" w:rsidRDefault="004E7993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 w:hAnsi="黑体"/>
          <w:sz w:val="32"/>
          <w:szCs w:val="32"/>
        </w:rPr>
        <w:lastRenderedPageBreak/>
        <w:t>四、本次拍卖出让地块的详细资料和具体要求，详见拍卖出让文件。</w:t>
      </w:r>
      <w:r>
        <w:rPr>
          <w:rFonts w:eastAsia="仿宋_GB2312"/>
          <w:sz w:val="32"/>
          <w:szCs w:val="32"/>
        </w:rPr>
        <w:t>申请人可于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29</w:t>
      </w:r>
      <w:r>
        <w:rPr>
          <w:rFonts w:eastAsia="仿宋_GB2312"/>
          <w:sz w:val="32"/>
          <w:szCs w:val="32"/>
        </w:rPr>
        <w:t>日，到建瓯市金瓯街</w:t>
      </w:r>
      <w:r>
        <w:rPr>
          <w:rFonts w:eastAsia="仿宋_GB2312"/>
          <w:sz w:val="32"/>
          <w:szCs w:val="32"/>
        </w:rPr>
        <w:t>27</w:t>
      </w:r>
      <w:r w:rsidR="00182199">
        <w:rPr>
          <w:rFonts w:eastAsia="仿宋_GB2312"/>
          <w:sz w:val="32"/>
          <w:szCs w:val="32"/>
        </w:rPr>
        <w:t>号</w:t>
      </w:r>
      <w:r w:rsidR="00182199">
        <w:rPr>
          <w:rFonts w:eastAsia="仿宋_GB2312" w:hint="eastAsia"/>
          <w:sz w:val="32"/>
          <w:szCs w:val="32"/>
        </w:rPr>
        <w:t>市自然资源局</w:t>
      </w:r>
      <w:r>
        <w:rPr>
          <w:rFonts w:eastAsia="仿宋_GB2312"/>
          <w:sz w:val="32"/>
          <w:szCs w:val="32"/>
        </w:rPr>
        <w:t>获取拍卖出让文件。</w:t>
      </w:r>
    </w:p>
    <w:p w:rsidR="00C83BF7" w:rsidRDefault="004E7993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 w:hAnsi="黑体"/>
          <w:sz w:val="32"/>
          <w:szCs w:val="32"/>
        </w:rPr>
        <w:t>五、申请人可于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29</w:t>
      </w:r>
      <w:r>
        <w:rPr>
          <w:rFonts w:eastAsia="仿宋_GB2312"/>
          <w:sz w:val="32"/>
          <w:szCs w:val="32"/>
        </w:rPr>
        <w:t>日，</w:t>
      </w:r>
      <w:r>
        <w:rPr>
          <w:rFonts w:eastAsia="黑体" w:hAnsi="黑体"/>
          <w:sz w:val="32"/>
          <w:szCs w:val="32"/>
        </w:rPr>
        <w:t>到建瓯市金瓯街</w:t>
      </w:r>
      <w:r>
        <w:rPr>
          <w:rFonts w:eastAsia="黑体"/>
          <w:sz w:val="32"/>
          <w:szCs w:val="32"/>
        </w:rPr>
        <w:t>27</w:t>
      </w:r>
      <w:r>
        <w:rPr>
          <w:rFonts w:eastAsia="黑体" w:hAnsi="黑体"/>
          <w:sz w:val="32"/>
          <w:szCs w:val="32"/>
        </w:rPr>
        <w:t>号</w:t>
      </w:r>
      <w:r w:rsidR="00182199" w:rsidRPr="00182199">
        <w:rPr>
          <w:rFonts w:eastAsia="黑体" w:hAnsi="黑体" w:hint="eastAsia"/>
          <w:sz w:val="32"/>
          <w:szCs w:val="32"/>
        </w:rPr>
        <w:t>市自然资源局</w:t>
      </w:r>
      <w:r>
        <w:rPr>
          <w:rFonts w:eastAsia="黑体" w:hAnsi="黑体"/>
          <w:sz w:val="32"/>
          <w:szCs w:val="32"/>
        </w:rPr>
        <w:t>提交书面申请。</w:t>
      </w:r>
      <w:r>
        <w:rPr>
          <w:rFonts w:eastAsia="仿宋_GB2312"/>
          <w:sz w:val="32"/>
          <w:szCs w:val="32"/>
        </w:rPr>
        <w:t>交纳竞买保证金的截止时间为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29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16</w:t>
      </w:r>
      <w:r>
        <w:rPr>
          <w:rFonts w:eastAsia="仿宋_GB2312"/>
          <w:sz w:val="32"/>
          <w:szCs w:val="32"/>
        </w:rPr>
        <w:t>时</w:t>
      </w:r>
      <w:r>
        <w:rPr>
          <w:rFonts w:eastAsia="仿宋_GB2312"/>
          <w:sz w:val="32"/>
          <w:szCs w:val="32"/>
        </w:rPr>
        <w:t>00</w:t>
      </w:r>
      <w:r>
        <w:rPr>
          <w:rFonts w:eastAsia="仿宋_GB2312"/>
          <w:sz w:val="32"/>
          <w:szCs w:val="32"/>
        </w:rPr>
        <w:t>分（以资金到达本公告指定账户时间为准）。</w:t>
      </w:r>
    </w:p>
    <w:p w:rsidR="00C83BF7" w:rsidRDefault="004E7993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经审查，申请人按规定交纳竞买保证金，具备申请条件的，我局将在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29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17</w:t>
      </w:r>
      <w:r>
        <w:rPr>
          <w:rFonts w:eastAsia="仿宋_GB2312"/>
          <w:sz w:val="32"/>
          <w:szCs w:val="32"/>
        </w:rPr>
        <w:t>时</w:t>
      </w:r>
      <w:r>
        <w:rPr>
          <w:rFonts w:eastAsia="仿宋_GB2312" w:hint="eastAsia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分前确认其竞买资格。</w:t>
      </w:r>
    </w:p>
    <w:p w:rsidR="00C83BF7" w:rsidRDefault="004E7993">
      <w:pPr>
        <w:spacing w:line="5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六、本次</w:t>
      </w:r>
      <w:r>
        <w:rPr>
          <w:rFonts w:eastAsia="黑体" w:hAnsi="黑体" w:hint="eastAsia"/>
          <w:sz w:val="32"/>
          <w:szCs w:val="32"/>
        </w:rPr>
        <w:t>农村</w:t>
      </w:r>
      <w:r>
        <w:rPr>
          <w:rFonts w:eastAsia="黑体" w:hAnsi="黑体" w:hint="eastAsia"/>
          <w:sz w:val="32"/>
          <w:szCs w:val="32"/>
          <w:lang w:val="zh-CN"/>
        </w:rPr>
        <w:t>集体经营性建设用地使用权</w:t>
      </w:r>
      <w:r>
        <w:rPr>
          <w:rFonts w:eastAsia="黑体" w:hAnsi="黑体"/>
          <w:sz w:val="32"/>
          <w:szCs w:val="32"/>
        </w:rPr>
        <w:t>拍卖活动在建</w:t>
      </w:r>
      <w:proofErr w:type="gramStart"/>
      <w:r>
        <w:rPr>
          <w:rFonts w:eastAsia="黑体" w:hAnsi="黑体"/>
          <w:sz w:val="32"/>
          <w:szCs w:val="32"/>
        </w:rPr>
        <w:t>瓯</w:t>
      </w:r>
      <w:proofErr w:type="gramEnd"/>
      <w:r>
        <w:rPr>
          <w:rFonts w:eastAsia="黑体" w:hAnsi="黑体"/>
          <w:sz w:val="32"/>
          <w:szCs w:val="32"/>
        </w:rPr>
        <w:t>市中环广场行政服务中心三楼建瓯市公共资源交易中心进行。</w:t>
      </w:r>
    </w:p>
    <w:p w:rsidR="00C83BF7" w:rsidRDefault="004E7993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地块拍卖开始时间</w:t>
      </w:r>
      <w:r>
        <w:rPr>
          <w:rFonts w:eastAsia="仿宋_GB2312"/>
          <w:sz w:val="32"/>
          <w:szCs w:val="32"/>
        </w:rPr>
        <w:t>: 202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时</w:t>
      </w:r>
      <w:r>
        <w:rPr>
          <w:rFonts w:eastAsia="仿宋_GB2312" w:hint="eastAsia"/>
          <w:sz w:val="32"/>
          <w:szCs w:val="32"/>
        </w:rPr>
        <w:t>00</w:t>
      </w:r>
      <w:r>
        <w:rPr>
          <w:rFonts w:eastAsia="仿宋_GB2312"/>
          <w:sz w:val="32"/>
          <w:szCs w:val="32"/>
        </w:rPr>
        <w:t>分整。</w:t>
      </w:r>
    </w:p>
    <w:p w:rsidR="00C83BF7" w:rsidRDefault="004E7993">
      <w:pPr>
        <w:spacing w:line="5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七、其他需公告的事项</w:t>
      </w:r>
    </w:p>
    <w:p w:rsidR="00C83BF7" w:rsidRDefault="004E7993">
      <w:pPr>
        <w:spacing w:line="500" w:lineRule="exact"/>
        <w:ind w:firstLineChars="200" w:firstLine="643"/>
        <w:rPr>
          <w:rFonts w:eastAsia="楷体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</w:t>
      </w:r>
      <w:r>
        <w:rPr>
          <w:rFonts w:eastAsia="楷体_GB2312"/>
          <w:sz w:val="32"/>
          <w:szCs w:val="32"/>
        </w:rPr>
        <w:t>土地利用条件和相关约定</w:t>
      </w:r>
    </w:p>
    <w:p w:rsidR="00C83BF7" w:rsidRDefault="004E7993">
      <w:pPr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竞得人必须自签订《成交确认书》之日起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个工作日内与出让人签订《</w:t>
      </w:r>
      <w:r>
        <w:rPr>
          <w:rFonts w:eastAsia="仿宋_GB2312" w:hint="eastAsia"/>
          <w:sz w:val="32"/>
          <w:szCs w:val="32"/>
          <w:lang w:val="zh-CN"/>
        </w:rPr>
        <w:t>集体经营性建设用地使用权</w:t>
      </w:r>
      <w:r>
        <w:rPr>
          <w:rFonts w:eastAsia="仿宋_GB2312" w:hint="eastAsia"/>
          <w:sz w:val="32"/>
          <w:szCs w:val="32"/>
        </w:rPr>
        <w:t>出让合同》《</w:t>
      </w:r>
      <w:r>
        <w:rPr>
          <w:rFonts w:eastAsia="仿宋_GB2312"/>
          <w:sz w:val="32"/>
          <w:szCs w:val="32"/>
          <w:lang w:val="zh-CN"/>
        </w:rPr>
        <w:t>集体经营性建设用地使用权出让</w:t>
      </w:r>
      <w:r>
        <w:rPr>
          <w:rFonts w:eastAsia="仿宋_GB2312" w:hint="eastAsia"/>
          <w:sz w:val="32"/>
          <w:szCs w:val="32"/>
          <w:lang w:val="zh-CN"/>
        </w:rPr>
        <w:t>监管协议</w:t>
      </w:r>
      <w:r>
        <w:rPr>
          <w:rFonts w:eastAsia="仿宋_GB2312" w:hint="eastAsia"/>
          <w:sz w:val="32"/>
          <w:szCs w:val="32"/>
        </w:rPr>
        <w:t>》。</w:t>
      </w:r>
    </w:p>
    <w:p w:rsidR="00C83BF7" w:rsidRDefault="004E7993">
      <w:pPr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其它土地利用条件，建瓯市房</w:t>
      </w:r>
      <w:proofErr w:type="gramStart"/>
      <w:r>
        <w:rPr>
          <w:rFonts w:eastAsia="仿宋_GB2312" w:hint="eastAsia"/>
          <w:sz w:val="32"/>
          <w:szCs w:val="32"/>
        </w:rPr>
        <w:t>道镇房道</w:t>
      </w:r>
      <w:proofErr w:type="gramEnd"/>
      <w:r>
        <w:rPr>
          <w:rFonts w:eastAsia="仿宋_GB2312" w:hint="eastAsia"/>
          <w:sz w:val="32"/>
          <w:szCs w:val="32"/>
        </w:rPr>
        <w:t>村</w:t>
      </w:r>
      <w:proofErr w:type="gramStart"/>
      <w:r>
        <w:rPr>
          <w:rFonts w:eastAsia="仿宋_GB2312" w:hint="eastAsia"/>
          <w:sz w:val="32"/>
          <w:szCs w:val="32"/>
        </w:rPr>
        <w:t>璜</w:t>
      </w:r>
      <w:proofErr w:type="gramEnd"/>
      <w:r>
        <w:rPr>
          <w:rFonts w:eastAsia="仿宋_GB2312" w:hint="eastAsia"/>
          <w:sz w:val="32"/>
          <w:szCs w:val="32"/>
        </w:rPr>
        <w:t>溪路</w:t>
      </w:r>
      <w:r>
        <w:rPr>
          <w:rFonts w:eastAsia="仿宋_GB2312" w:hint="eastAsia"/>
          <w:sz w:val="32"/>
          <w:szCs w:val="32"/>
        </w:rPr>
        <w:t>36</w:t>
      </w:r>
      <w:r>
        <w:rPr>
          <w:rFonts w:eastAsia="仿宋_GB2312" w:hint="eastAsia"/>
          <w:sz w:val="32"/>
          <w:szCs w:val="32"/>
        </w:rPr>
        <w:t>号地块按市自然资源局（</w:t>
      </w:r>
      <w:proofErr w:type="gramStart"/>
      <w:r>
        <w:rPr>
          <w:rFonts w:eastAsia="仿宋_GB2312" w:hint="eastAsia"/>
          <w:sz w:val="32"/>
          <w:szCs w:val="32"/>
        </w:rPr>
        <w:t>瓯</w:t>
      </w:r>
      <w:proofErr w:type="gramEnd"/>
      <w:r>
        <w:rPr>
          <w:rFonts w:eastAsia="仿宋_GB2312" w:hint="eastAsia"/>
          <w:sz w:val="32"/>
          <w:szCs w:val="32"/>
        </w:rPr>
        <w:t>自然资</w:t>
      </w:r>
      <w:proofErr w:type="gramStart"/>
      <w:r>
        <w:rPr>
          <w:rFonts w:eastAsia="仿宋_GB2312" w:hint="eastAsia"/>
          <w:sz w:val="32"/>
          <w:szCs w:val="32"/>
        </w:rPr>
        <w:t>规</w:t>
      </w:r>
      <w:proofErr w:type="gramEnd"/>
      <w:r>
        <w:rPr>
          <w:rFonts w:eastAsia="仿宋_GB2312" w:hint="eastAsia"/>
          <w:sz w:val="32"/>
          <w:szCs w:val="32"/>
        </w:rPr>
        <w:t>〔</w:t>
      </w:r>
      <w:r>
        <w:rPr>
          <w:rFonts w:eastAsia="仿宋_GB2312" w:hint="eastAsia"/>
          <w:sz w:val="32"/>
          <w:szCs w:val="32"/>
        </w:rPr>
        <w:t>2024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146</w:t>
      </w:r>
      <w:r>
        <w:rPr>
          <w:rFonts w:eastAsia="仿宋_GB2312" w:hint="eastAsia"/>
          <w:sz w:val="32"/>
          <w:szCs w:val="32"/>
        </w:rPr>
        <w:t>号）文件执行；建瓯市徐墩镇桂美村高桥头地块按市自然资源局（</w:t>
      </w:r>
      <w:proofErr w:type="gramStart"/>
      <w:r>
        <w:rPr>
          <w:rFonts w:eastAsia="仿宋_GB2312" w:hint="eastAsia"/>
          <w:sz w:val="32"/>
          <w:szCs w:val="32"/>
        </w:rPr>
        <w:t>瓯</w:t>
      </w:r>
      <w:proofErr w:type="gramEnd"/>
      <w:r>
        <w:rPr>
          <w:rFonts w:eastAsia="仿宋_GB2312" w:hint="eastAsia"/>
          <w:sz w:val="32"/>
          <w:szCs w:val="32"/>
        </w:rPr>
        <w:t>自然资</w:t>
      </w:r>
      <w:proofErr w:type="gramStart"/>
      <w:r>
        <w:rPr>
          <w:rFonts w:eastAsia="仿宋_GB2312" w:hint="eastAsia"/>
          <w:sz w:val="32"/>
          <w:szCs w:val="32"/>
        </w:rPr>
        <w:t>规</w:t>
      </w:r>
      <w:proofErr w:type="gramEnd"/>
      <w:r>
        <w:rPr>
          <w:rFonts w:eastAsia="仿宋_GB2312" w:hint="eastAsia"/>
          <w:sz w:val="32"/>
          <w:szCs w:val="32"/>
        </w:rPr>
        <w:t>〔</w:t>
      </w:r>
      <w:r>
        <w:rPr>
          <w:rFonts w:eastAsia="仿宋_GB2312" w:hint="eastAsia"/>
          <w:sz w:val="32"/>
          <w:szCs w:val="32"/>
        </w:rPr>
        <w:t>2024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151</w:t>
      </w:r>
      <w:r>
        <w:rPr>
          <w:rFonts w:eastAsia="仿宋_GB2312" w:hint="eastAsia"/>
          <w:sz w:val="32"/>
          <w:szCs w:val="32"/>
        </w:rPr>
        <w:t>号）文件执行。</w:t>
      </w:r>
    </w:p>
    <w:p w:rsidR="00C83BF7" w:rsidRDefault="004E7993" w:rsidP="00182199">
      <w:pPr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建瓯市徐墩镇桂美村高桥头地块出让宗地的受让人在《集体经营性建设用地使用权出让合同》约定的动工开发日期前未取得项目核准（备案）、环境影响评价批复文件的，</w:t>
      </w:r>
      <w:r>
        <w:rPr>
          <w:rFonts w:eastAsia="仿宋_GB2312" w:hint="eastAsia"/>
          <w:sz w:val="32"/>
          <w:szCs w:val="32"/>
        </w:rPr>
        <w:lastRenderedPageBreak/>
        <w:t>出让人有权解除《集体经营性建设用地使用权出让合同》，收回集体经营性建设用地使用权，并在</w:t>
      </w:r>
      <w:proofErr w:type="gramStart"/>
      <w:r>
        <w:rPr>
          <w:rFonts w:eastAsia="仿宋_GB2312" w:hint="eastAsia"/>
          <w:sz w:val="32"/>
          <w:szCs w:val="32"/>
        </w:rPr>
        <w:t>扣除由竞得</w:t>
      </w:r>
      <w:proofErr w:type="gramEnd"/>
      <w:r>
        <w:rPr>
          <w:rFonts w:eastAsia="仿宋_GB2312" w:hint="eastAsia"/>
          <w:sz w:val="32"/>
          <w:szCs w:val="32"/>
        </w:rPr>
        <w:t>人竞买（投标）保证金转作受让地块土地出让价款的</w:t>
      </w:r>
      <w:r>
        <w:rPr>
          <w:rFonts w:eastAsia="仿宋_GB2312" w:hint="eastAsia"/>
          <w:sz w:val="32"/>
          <w:szCs w:val="32"/>
        </w:rPr>
        <w:t>30%</w:t>
      </w:r>
      <w:r>
        <w:rPr>
          <w:rFonts w:eastAsia="仿宋_GB2312" w:hint="eastAsia"/>
          <w:sz w:val="32"/>
          <w:szCs w:val="32"/>
        </w:rPr>
        <w:t>后，退还其余已缴纳的土地出让价款（不计利息）。</w:t>
      </w:r>
    </w:p>
    <w:p w:rsidR="00C83BF7" w:rsidRDefault="004E7993" w:rsidP="00182199">
      <w:pPr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4..</w:t>
      </w:r>
      <w:r>
        <w:rPr>
          <w:rFonts w:eastAsia="仿宋_GB2312" w:hint="eastAsia"/>
          <w:sz w:val="32"/>
          <w:szCs w:val="32"/>
        </w:rPr>
        <w:t>建瓯市徐墩镇桂美村高桥头地块出让宗地的竞得人未取得项目核准（备案）、环境影响评价批复文件的，不得办理抵押登记</w:t>
      </w:r>
    </w:p>
    <w:p w:rsidR="00C83BF7" w:rsidRDefault="004E7993" w:rsidP="00182199">
      <w:pPr>
        <w:widowControl/>
        <w:shd w:val="clear" w:color="auto" w:fill="FFFFFF"/>
        <w:adjustRightInd w:val="0"/>
        <w:snapToGrid w:val="0"/>
        <w:spacing w:line="520" w:lineRule="exact"/>
        <w:ind w:firstLineChars="196" w:firstLine="630"/>
        <w:rPr>
          <w:rFonts w:eastAsia="楷体_GB2312"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（二）</w:t>
      </w:r>
      <w:r>
        <w:rPr>
          <w:rFonts w:eastAsia="楷体_GB2312" w:hint="eastAsia"/>
          <w:sz w:val="32"/>
          <w:szCs w:val="32"/>
        </w:rPr>
        <w:t>本次拍卖出让不设置保留价</w:t>
      </w:r>
    </w:p>
    <w:p w:rsidR="00C83BF7" w:rsidRDefault="004E7993" w:rsidP="00182199">
      <w:pPr>
        <w:spacing w:line="52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八、联系方式与银行账户</w:t>
      </w:r>
    </w:p>
    <w:p w:rsidR="00C83BF7" w:rsidRDefault="004E7993" w:rsidP="00182199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联系地址：</w:t>
      </w:r>
    </w:p>
    <w:p w:rsidR="00C83BF7" w:rsidRDefault="004E7993" w:rsidP="00182199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建瓯市金瓯街</w:t>
      </w:r>
      <w:r>
        <w:rPr>
          <w:rFonts w:eastAsia="仿宋_GB2312"/>
          <w:sz w:val="32"/>
          <w:szCs w:val="32"/>
        </w:rPr>
        <w:t>27</w:t>
      </w:r>
      <w:r w:rsidR="0025570F">
        <w:rPr>
          <w:rFonts w:eastAsia="仿宋_GB2312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>建瓯市</w:t>
      </w:r>
      <w:r w:rsidR="0079292E">
        <w:rPr>
          <w:rFonts w:eastAsia="仿宋_GB2312" w:hint="eastAsia"/>
          <w:sz w:val="32"/>
          <w:szCs w:val="32"/>
        </w:rPr>
        <w:t>自然资源局</w:t>
      </w:r>
    </w:p>
    <w:p w:rsidR="00C83BF7" w:rsidRDefault="004E7993" w:rsidP="00182199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建瓯市中环广场行政服务中心三楼建瓯市公共资源交易中心</w:t>
      </w:r>
    </w:p>
    <w:p w:rsidR="00C83BF7" w:rsidRDefault="004E7993" w:rsidP="00182199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联系人及电话：</w:t>
      </w:r>
    </w:p>
    <w:p w:rsidR="00832193" w:rsidRDefault="00832193" w:rsidP="00182199">
      <w:pPr>
        <w:spacing w:line="520" w:lineRule="exact"/>
        <w:ind w:leftChars="304" w:left="638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陈女土</w:t>
      </w:r>
      <w:r>
        <w:rPr>
          <w:rFonts w:eastAsia="仿宋_GB2312"/>
          <w:sz w:val="32"/>
          <w:szCs w:val="32"/>
        </w:rPr>
        <w:t xml:space="preserve">   0599-3857502    </w:t>
      </w:r>
      <w:r>
        <w:rPr>
          <w:rFonts w:eastAsia="仿宋_GB2312" w:hint="eastAsia"/>
          <w:sz w:val="32"/>
          <w:szCs w:val="32"/>
        </w:rPr>
        <w:t xml:space="preserve">王女士　　</w:t>
      </w:r>
      <w:r>
        <w:rPr>
          <w:rFonts w:eastAsia="仿宋_GB2312" w:hint="eastAsia"/>
          <w:sz w:val="32"/>
          <w:szCs w:val="32"/>
        </w:rPr>
        <w:t>0599-3832215</w:t>
      </w:r>
      <w:r>
        <w:rPr>
          <w:rFonts w:eastAsia="仿宋_GB2312" w:hint="eastAsia"/>
          <w:sz w:val="32"/>
          <w:szCs w:val="32"/>
        </w:rPr>
        <w:t xml:space="preserve">　　</w:t>
      </w:r>
      <w:r>
        <w:rPr>
          <w:rFonts w:eastAsia="仿宋_GB2312"/>
          <w:sz w:val="32"/>
          <w:szCs w:val="32"/>
        </w:rPr>
        <w:t>吴先生</w:t>
      </w:r>
      <w:r>
        <w:rPr>
          <w:rFonts w:eastAsia="仿宋_GB2312"/>
          <w:sz w:val="32"/>
          <w:szCs w:val="32"/>
        </w:rPr>
        <w:t xml:space="preserve">   0599-8225133</w:t>
      </w:r>
    </w:p>
    <w:p w:rsidR="00C83BF7" w:rsidRDefault="004E7993" w:rsidP="00182199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开户单位</w:t>
      </w:r>
      <w:r>
        <w:rPr>
          <w:rFonts w:eastAsia="仿宋_GB2312"/>
          <w:sz w:val="32"/>
          <w:szCs w:val="32"/>
        </w:rPr>
        <w:t xml:space="preserve">: </w:t>
      </w:r>
      <w:r>
        <w:rPr>
          <w:rFonts w:eastAsia="仿宋_GB2312"/>
          <w:sz w:val="32"/>
          <w:szCs w:val="32"/>
        </w:rPr>
        <w:t>建瓯市公共资源交易中心</w:t>
      </w:r>
    </w:p>
    <w:p w:rsidR="00C83BF7" w:rsidRDefault="004E7993">
      <w:pPr>
        <w:tabs>
          <w:tab w:val="left" w:pos="6105"/>
        </w:tabs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ab/>
      </w:r>
    </w:p>
    <w:p w:rsidR="00C83BF7" w:rsidRDefault="004E7993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开户行：中国工商银行建瓯支行营业部</w:t>
      </w:r>
    </w:p>
    <w:p w:rsidR="00C83BF7" w:rsidRDefault="004E7993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账号：</w:t>
      </w:r>
      <w:r>
        <w:rPr>
          <w:rFonts w:eastAsia="仿宋_GB2312"/>
          <w:sz w:val="32"/>
          <w:szCs w:val="32"/>
        </w:rPr>
        <w:t>1406 0407 2902 2071 058</w:t>
      </w:r>
    </w:p>
    <w:p w:rsidR="00C83BF7" w:rsidRDefault="00C83BF7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:rsidR="00C83BF7" w:rsidRDefault="004E7993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开户行</w:t>
      </w:r>
      <w:r>
        <w:rPr>
          <w:rFonts w:eastAsia="仿宋_GB2312"/>
          <w:sz w:val="32"/>
          <w:szCs w:val="32"/>
        </w:rPr>
        <w:t xml:space="preserve">: </w:t>
      </w:r>
      <w:r>
        <w:rPr>
          <w:rFonts w:eastAsia="仿宋_GB2312"/>
          <w:sz w:val="32"/>
          <w:szCs w:val="32"/>
        </w:rPr>
        <w:t>农业银行建瓯支行</w:t>
      </w:r>
    </w:p>
    <w:p w:rsidR="00C83BF7" w:rsidRDefault="004E7993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账号</w:t>
      </w:r>
      <w:r>
        <w:rPr>
          <w:rFonts w:eastAsia="仿宋_GB2312"/>
          <w:sz w:val="32"/>
          <w:szCs w:val="32"/>
        </w:rPr>
        <w:t xml:space="preserve">: 1395 0101 0400 2958 5 </w:t>
      </w:r>
    </w:p>
    <w:p w:rsidR="00C83BF7" w:rsidRDefault="00C83BF7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:rsidR="00C83BF7" w:rsidRDefault="004E7993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开户行</w:t>
      </w:r>
      <w:r>
        <w:rPr>
          <w:rFonts w:eastAsia="仿宋_GB2312"/>
          <w:sz w:val="32"/>
          <w:szCs w:val="32"/>
        </w:rPr>
        <w:t xml:space="preserve">: </w:t>
      </w:r>
      <w:r>
        <w:rPr>
          <w:rFonts w:eastAsia="仿宋_GB2312"/>
          <w:sz w:val="32"/>
          <w:szCs w:val="32"/>
        </w:rPr>
        <w:t>建行建瓯支行</w:t>
      </w:r>
    </w:p>
    <w:p w:rsidR="00C83BF7" w:rsidRDefault="004E7993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账号：</w:t>
      </w:r>
      <w:r>
        <w:rPr>
          <w:rFonts w:eastAsia="仿宋_GB2312"/>
          <w:sz w:val="32"/>
          <w:szCs w:val="32"/>
        </w:rPr>
        <w:t>3505 0167 7307 0000 0820</w:t>
      </w:r>
    </w:p>
    <w:p w:rsidR="00C83BF7" w:rsidRDefault="00C83BF7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:rsidR="00C83BF7" w:rsidRDefault="004E7993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附件：</w:t>
      </w:r>
      <w:r>
        <w:rPr>
          <w:rFonts w:eastAsia="仿宋_GB2312"/>
          <w:sz w:val="32"/>
          <w:szCs w:val="32"/>
        </w:rPr>
        <w:t>拍卖出让地块的基本情况和主要规划指标</w:t>
      </w:r>
    </w:p>
    <w:p w:rsidR="00C83BF7" w:rsidRDefault="00C83BF7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:rsidR="00C83BF7" w:rsidRDefault="00C83BF7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:rsidR="00C83BF7" w:rsidRDefault="00C83BF7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:rsidR="00C83BF7" w:rsidRDefault="004E7993">
      <w:pPr>
        <w:spacing w:line="480" w:lineRule="exact"/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ab/>
      </w:r>
      <w:r>
        <w:rPr>
          <w:rFonts w:eastAsia="仿宋_GB2312"/>
          <w:sz w:val="32"/>
          <w:szCs w:val="32"/>
        </w:rPr>
        <w:t>建瓯市自然资源局</w:t>
      </w:r>
    </w:p>
    <w:p w:rsidR="00C83BF7" w:rsidRDefault="004E7993">
      <w:pPr>
        <w:tabs>
          <w:tab w:val="left" w:pos="3238"/>
        </w:tabs>
        <w:spacing w:line="560" w:lineRule="exact"/>
        <w:ind w:firstLineChars="1600" w:firstLine="51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日</w:t>
      </w:r>
    </w:p>
    <w:p w:rsidR="00C83BF7" w:rsidRDefault="00C83BF7">
      <w:pPr>
        <w:ind w:firstLineChars="300" w:firstLine="960"/>
        <w:rPr>
          <w:rFonts w:eastAsia="黑体" w:hAnsi="黑体"/>
          <w:sz w:val="32"/>
          <w:szCs w:val="32"/>
        </w:rPr>
      </w:pPr>
    </w:p>
    <w:p w:rsidR="00C83BF7" w:rsidRDefault="00C83BF7">
      <w:pPr>
        <w:ind w:firstLineChars="300" w:firstLine="960"/>
        <w:rPr>
          <w:rFonts w:eastAsia="黑体" w:hAnsi="黑体"/>
          <w:sz w:val="32"/>
          <w:szCs w:val="32"/>
        </w:rPr>
      </w:pPr>
    </w:p>
    <w:p w:rsidR="00C83BF7" w:rsidRDefault="00C83BF7">
      <w:pPr>
        <w:ind w:firstLineChars="300" w:firstLine="960"/>
        <w:rPr>
          <w:rFonts w:eastAsia="黑体" w:hAnsi="黑体"/>
          <w:sz w:val="32"/>
          <w:szCs w:val="32"/>
        </w:rPr>
      </w:pPr>
    </w:p>
    <w:p w:rsidR="00C83BF7" w:rsidRDefault="00C83BF7">
      <w:pPr>
        <w:ind w:firstLineChars="300" w:firstLine="960"/>
        <w:rPr>
          <w:rFonts w:eastAsia="黑体" w:hAnsi="黑体"/>
          <w:sz w:val="32"/>
          <w:szCs w:val="32"/>
        </w:rPr>
      </w:pPr>
    </w:p>
    <w:p w:rsidR="00C83BF7" w:rsidRDefault="00C83BF7">
      <w:pPr>
        <w:ind w:firstLineChars="300" w:firstLine="960"/>
        <w:rPr>
          <w:rFonts w:eastAsia="黑体" w:hAnsi="黑体"/>
          <w:sz w:val="32"/>
          <w:szCs w:val="32"/>
        </w:rPr>
      </w:pPr>
    </w:p>
    <w:p w:rsidR="00C83BF7" w:rsidRDefault="00C83BF7">
      <w:pPr>
        <w:ind w:firstLineChars="300" w:firstLine="960"/>
        <w:rPr>
          <w:rFonts w:eastAsia="黑体" w:hAnsi="黑体"/>
          <w:sz w:val="32"/>
          <w:szCs w:val="32"/>
        </w:rPr>
      </w:pPr>
    </w:p>
    <w:p w:rsidR="00C83BF7" w:rsidRDefault="00C83BF7">
      <w:pPr>
        <w:ind w:firstLineChars="300" w:firstLine="960"/>
        <w:rPr>
          <w:rFonts w:eastAsia="黑体" w:hAnsi="黑体"/>
          <w:sz w:val="32"/>
          <w:szCs w:val="32"/>
        </w:rPr>
      </w:pPr>
    </w:p>
    <w:p w:rsidR="00C83BF7" w:rsidRDefault="00C83BF7">
      <w:pPr>
        <w:ind w:firstLineChars="300" w:firstLine="960"/>
        <w:rPr>
          <w:rFonts w:eastAsia="黑体" w:hAnsi="黑体"/>
          <w:sz w:val="32"/>
          <w:szCs w:val="32"/>
        </w:rPr>
      </w:pPr>
    </w:p>
    <w:p w:rsidR="00C83BF7" w:rsidRDefault="00C83BF7">
      <w:pPr>
        <w:ind w:firstLineChars="300" w:firstLine="960"/>
        <w:rPr>
          <w:rFonts w:eastAsia="黑体" w:hAnsi="黑体"/>
          <w:sz w:val="32"/>
          <w:szCs w:val="32"/>
        </w:rPr>
      </w:pPr>
    </w:p>
    <w:p w:rsidR="00C83BF7" w:rsidRDefault="00C83BF7">
      <w:pPr>
        <w:ind w:firstLineChars="300" w:firstLine="960"/>
        <w:rPr>
          <w:rFonts w:eastAsia="黑体" w:hAnsi="黑体"/>
          <w:sz w:val="32"/>
          <w:szCs w:val="32"/>
        </w:rPr>
      </w:pPr>
    </w:p>
    <w:p w:rsidR="00C83BF7" w:rsidRDefault="00C83BF7">
      <w:pPr>
        <w:ind w:firstLineChars="300" w:firstLine="960"/>
        <w:rPr>
          <w:rFonts w:eastAsia="黑体" w:hAnsi="黑体"/>
          <w:sz w:val="32"/>
          <w:szCs w:val="32"/>
        </w:rPr>
      </w:pPr>
    </w:p>
    <w:p w:rsidR="00C83BF7" w:rsidRDefault="00C83BF7">
      <w:pPr>
        <w:ind w:firstLineChars="300" w:firstLine="960"/>
        <w:rPr>
          <w:rFonts w:eastAsia="黑体" w:hAnsi="黑体"/>
          <w:sz w:val="32"/>
          <w:szCs w:val="32"/>
        </w:rPr>
      </w:pPr>
    </w:p>
    <w:p w:rsidR="00C83BF7" w:rsidRDefault="00C83BF7">
      <w:pPr>
        <w:ind w:firstLineChars="300" w:firstLine="960"/>
        <w:rPr>
          <w:rFonts w:eastAsia="黑体" w:hAnsi="黑体"/>
          <w:sz w:val="32"/>
          <w:szCs w:val="32"/>
        </w:rPr>
      </w:pPr>
    </w:p>
    <w:p w:rsidR="00C83BF7" w:rsidRDefault="00C83BF7">
      <w:pPr>
        <w:ind w:firstLineChars="300" w:firstLine="960"/>
        <w:rPr>
          <w:rFonts w:eastAsia="黑体" w:hAnsi="黑体"/>
          <w:sz w:val="32"/>
          <w:szCs w:val="32"/>
        </w:rPr>
      </w:pPr>
    </w:p>
    <w:p w:rsidR="00C83BF7" w:rsidRDefault="00C83BF7">
      <w:pPr>
        <w:ind w:firstLineChars="300" w:firstLine="960"/>
        <w:rPr>
          <w:rFonts w:eastAsia="黑体" w:hAnsi="黑体"/>
          <w:sz w:val="32"/>
          <w:szCs w:val="32"/>
        </w:rPr>
      </w:pPr>
    </w:p>
    <w:p w:rsidR="00C83BF7" w:rsidRDefault="00C83BF7">
      <w:pPr>
        <w:ind w:firstLineChars="300" w:firstLine="960"/>
        <w:rPr>
          <w:rFonts w:eastAsia="黑体" w:hAnsi="黑体"/>
          <w:sz w:val="32"/>
          <w:szCs w:val="32"/>
        </w:rPr>
      </w:pPr>
    </w:p>
    <w:p w:rsidR="00C83BF7" w:rsidRDefault="00C83BF7" w:rsidP="00EE04AC">
      <w:pPr>
        <w:rPr>
          <w:rFonts w:eastAsia="黑体" w:hAnsi="黑体"/>
          <w:sz w:val="32"/>
          <w:szCs w:val="32"/>
        </w:rPr>
      </w:pPr>
      <w:bookmarkStart w:id="1" w:name="_GoBack"/>
      <w:bookmarkEnd w:id="1"/>
    </w:p>
    <w:p w:rsidR="00C83BF7" w:rsidRDefault="004E7993" w:rsidP="00EE04AC">
      <w:pPr>
        <w:jc w:val="center"/>
      </w:pPr>
      <w:r>
        <w:rPr>
          <w:rFonts w:eastAsia="黑体" w:hAnsi="黑体"/>
          <w:sz w:val="32"/>
          <w:szCs w:val="32"/>
        </w:rPr>
        <w:t>拍卖出让地块的基本情况和主要规划指标</w:t>
      </w:r>
    </w:p>
    <w:tbl>
      <w:tblPr>
        <w:tblpPr w:leftFromText="180" w:rightFromText="180" w:vertAnchor="text" w:horzAnchor="margin" w:tblpXSpec="center" w:tblpY="614"/>
        <w:tblW w:w="11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/>
      </w:tblPr>
      <w:tblGrid>
        <w:gridCol w:w="550"/>
        <w:gridCol w:w="868"/>
        <w:gridCol w:w="867"/>
        <w:gridCol w:w="567"/>
        <w:gridCol w:w="567"/>
        <w:gridCol w:w="851"/>
        <w:gridCol w:w="1117"/>
        <w:gridCol w:w="658"/>
        <w:gridCol w:w="617"/>
        <w:gridCol w:w="834"/>
        <w:gridCol w:w="850"/>
        <w:gridCol w:w="709"/>
        <w:gridCol w:w="726"/>
        <w:gridCol w:w="709"/>
        <w:gridCol w:w="708"/>
      </w:tblGrid>
      <w:tr w:rsidR="0013384B" w:rsidTr="00610A0E">
        <w:trPr>
          <w:cantSplit/>
          <w:trHeight w:val="541"/>
        </w:trPr>
        <w:tc>
          <w:tcPr>
            <w:tcW w:w="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384B" w:rsidRDefault="0013384B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  <w:p w:rsidR="0013384B" w:rsidRDefault="0013384B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  <w:p w:rsidR="0013384B" w:rsidRDefault="0013384B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编号</w:t>
            </w:r>
          </w:p>
        </w:tc>
        <w:tc>
          <w:tcPr>
            <w:tcW w:w="8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4B" w:rsidRDefault="0013384B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土地</w:t>
            </w:r>
          </w:p>
          <w:p w:rsidR="0013384B" w:rsidRDefault="0013384B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位置</w:t>
            </w:r>
          </w:p>
        </w:tc>
        <w:tc>
          <w:tcPr>
            <w:tcW w:w="8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4B" w:rsidRDefault="0013384B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土地</w:t>
            </w:r>
          </w:p>
          <w:p w:rsidR="0013384B" w:rsidRDefault="0013384B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面积</w:t>
            </w:r>
          </w:p>
          <w:p w:rsidR="0013384B" w:rsidRDefault="0013384B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"/>
                <w:sz w:val="24"/>
              </w:rPr>
              <w:t>㎡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4B" w:rsidRDefault="0013384B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土地用途</w:t>
            </w:r>
          </w:p>
        </w:tc>
        <w:tc>
          <w:tcPr>
            <w:tcW w:w="381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4B" w:rsidRDefault="0013384B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规划指标要求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84B" w:rsidRDefault="0013384B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产业类型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84B" w:rsidRDefault="0013384B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投资强度（万元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亩）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4B" w:rsidRDefault="0013384B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出让</w:t>
            </w:r>
          </w:p>
          <w:p w:rsidR="0013384B" w:rsidRDefault="0013384B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年限</w:t>
            </w:r>
          </w:p>
          <w:p w:rsidR="0013384B" w:rsidRDefault="0013384B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7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4B" w:rsidRDefault="0013384B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</w:t>
            </w:r>
          </w:p>
          <w:p w:rsidR="0013384B" w:rsidRDefault="0013384B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始价</w:t>
            </w:r>
          </w:p>
          <w:p w:rsidR="0013384B" w:rsidRDefault="0013384B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（万元）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4B" w:rsidRDefault="0013384B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竞买</w:t>
            </w:r>
          </w:p>
          <w:p w:rsidR="0013384B" w:rsidRDefault="0013384B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保证</w:t>
            </w:r>
          </w:p>
          <w:p w:rsidR="0013384B" w:rsidRDefault="0013384B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金</w:t>
            </w:r>
          </w:p>
          <w:p w:rsidR="0013384B" w:rsidRDefault="0013384B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（万元）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384B" w:rsidRDefault="0013384B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增价</w:t>
            </w:r>
          </w:p>
          <w:p w:rsidR="0013384B" w:rsidRDefault="0013384B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幅度</w:t>
            </w:r>
          </w:p>
        </w:tc>
      </w:tr>
      <w:tr w:rsidR="00CC09CF" w:rsidTr="00610A0E">
        <w:trPr>
          <w:cantSplit/>
          <w:trHeight w:val="5"/>
        </w:trPr>
        <w:tc>
          <w:tcPr>
            <w:tcW w:w="55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F7" w:rsidRDefault="00C83BF7"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8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F7" w:rsidRDefault="00C83BF7"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8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F7" w:rsidRDefault="00C83BF7"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F7" w:rsidRDefault="00C83BF7"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F7" w:rsidRDefault="004E7993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容积率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F7" w:rsidRDefault="004E7993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建筑</w:t>
            </w:r>
          </w:p>
          <w:p w:rsidR="00C83BF7" w:rsidRDefault="004E7993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密度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F7" w:rsidRDefault="004E7993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绿地率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F7" w:rsidRDefault="004E7993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建筑</w:t>
            </w:r>
          </w:p>
          <w:p w:rsidR="00C83BF7" w:rsidRDefault="004E7993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高度</w:t>
            </w:r>
          </w:p>
          <w:p w:rsidR="00C83BF7" w:rsidRDefault="004E7993"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（米）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F7" w:rsidRDefault="004E7993"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行政办公及生活服务设施用地比例</w:t>
            </w:r>
            <w:r>
              <w:rPr>
                <w:rFonts w:eastAsia="仿宋_GB2312" w:hint="eastAsia"/>
                <w:sz w:val="24"/>
              </w:rPr>
              <w:t>%</w:t>
            </w: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F7" w:rsidRDefault="00C83BF7"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F7" w:rsidRDefault="00C83BF7"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F7" w:rsidRDefault="00C83BF7"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7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F7" w:rsidRDefault="00C83BF7"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F7" w:rsidRDefault="00C83BF7"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BF7" w:rsidRDefault="00C83BF7">
            <w:pPr>
              <w:spacing w:line="260" w:lineRule="exact"/>
              <w:rPr>
                <w:rFonts w:eastAsia="仿宋_GB2312"/>
                <w:sz w:val="24"/>
              </w:rPr>
            </w:pPr>
          </w:p>
        </w:tc>
      </w:tr>
      <w:tr w:rsidR="00CC09CF" w:rsidTr="00610A0E">
        <w:trPr>
          <w:cantSplit/>
          <w:trHeight w:val="1104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F7" w:rsidRDefault="004E7993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2024</w:t>
            </w:r>
            <w:r>
              <w:rPr>
                <w:rFonts w:eastAsia="仿宋_GB2312"/>
                <w:sz w:val="32"/>
                <w:szCs w:val="32"/>
              </w:rPr>
              <w:t>-</w:t>
            </w:r>
            <w:r>
              <w:rPr>
                <w:rFonts w:eastAsia="仿宋_GB2312" w:hint="eastAsia"/>
                <w:sz w:val="24"/>
              </w:rPr>
              <w:t>ojp02</w:t>
            </w:r>
            <w:r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F7" w:rsidRDefault="004E7993">
            <w:pPr>
              <w:spacing w:line="2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建瓯市房</w:t>
            </w:r>
            <w:proofErr w:type="gramStart"/>
            <w:r>
              <w:rPr>
                <w:rFonts w:eastAsia="仿宋_GB2312" w:hint="eastAsia"/>
                <w:sz w:val="24"/>
              </w:rPr>
              <w:t>道镇房道</w:t>
            </w:r>
            <w:proofErr w:type="gramEnd"/>
            <w:r>
              <w:rPr>
                <w:rFonts w:eastAsia="仿宋_GB2312" w:hint="eastAsia"/>
                <w:sz w:val="24"/>
              </w:rPr>
              <w:t>村</w:t>
            </w:r>
            <w:proofErr w:type="gramStart"/>
            <w:r>
              <w:rPr>
                <w:rFonts w:eastAsia="仿宋_GB2312" w:hint="eastAsia"/>
                <w:sz w:val="24"/>
              </w:rPr>
              <w:t>璜</w:t>
            </w:r>
            <w:proofErr w:type="gramEnd"/>
            <w:r>
              <w:rPr>
                <w:rFonts w:eastAsia="仿宋_GB2312" w:hint="eastAsia"/>
                <w:sz w:val="24"/>
              </w:rPr>
              <w:t>溪路</w:t>
            </w:r>
            <w:r>
              <w:rPr>
                <w:rFonts w:eastAsia="仿宋_GB2312" w:hint="eastAsia"/>
                <w:sz w:val="24"/>
              </w:rPr>
              <w:t>36</w:t>
            </w:r>
            <w:r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F7" w:rsidRDefault="004E7993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1578.46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CF" w:rsidRDefault="004E7993"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商业</w:t>
            </w:r>
          </w:p>
          <w:p w:rsidR="00C83BF7" w:rsidRDefault="004E7993"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用地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F7" w:rsidRDefault="004E7993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1.0</w:t>
            </w:r>
            <w:r>
              <w:rPr>
                <w:rFonts w:eastAsia="仿宋_GB2312"/>
                <w:sz w:val="24"/>
              </w:rPr>
              <w:t>＜</w:t>
            </w:r>
            <w:r>
              <w:rPr>
                <w:rFonts w:eastAsia="仿宋_GB2312"/>
                <w:sz w:val="24"/>
              </w:rPr>
              <w:t>FAR</w:t>
            </w:r>
            <w:r>
              <w:rPr>
                <w:rFonts w:eastAsia="仿宋_GB2312" w:hint="eastAsia"/>
                <w:sz w:val="24"/>
              </w:rPr>
              <w:t>≤</w:t>
            </w:r>
            <w:r>
              <w:rPr>
                <w:rFonts w:eastAsia="仿宋_GB2312" w:hint="eastAsia"/>
                <w:sz w:val="24"/>
              </w:rPr>
              <w:t>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F7" w:rsidRDefault="004E7993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≤</w:t>
            </w:r>
            <w:r>
              <w:rPr>
                <w:rFonts w:eastAsia="仿宋_GB2312" w:hint="eastAsia"/>
                <w:sz w:val="24"/>
              </w:rPr>
              <w:t>35</w:t>
            </w:r>
            <w:r>
              <w:rPr>
                <w:rFonts w:eastAsia="仿宋_GB2312"/>
                <w:sz w:val="24"/>
              </w:rPr>
              <w:t>%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F7" w:rsidRDefault="004E7993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≥</w:t>
            </w:r>
            <w:r>
              <w:rPr>
                <w:rFonts w:eastAsia="仿宋_GB2312" w:hint="eastAsia"/>
                <w:sz w:val="24"/>
              </w:rPr>
              <w:t>15</w:t>
            </w:r>
            <w:r>
              <w:rPr>
                <w:rFonts w:eastAsia="仿宋_GB2312"/>
                <w:sz w:val="24"/>
              </w:rPr>
              <w:t>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F7" w:rsidRDefault="004E7993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≤</w:t>
            </w:r>
            <w:r>
              <w:rPr>
                <w:rFonts w:eastAsia="仿宋_GB2312" w:hint="eastAsia"/>
                <w:sz w:val="24"/>
              </w:rPr>
              <w:t>24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F7" w:rsidRDefault="0013384B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13384B">
              <w:rPr>
                <w:rFonts w:eastAsia="仿宋_GB2312"/>
                <w:sz w:val="24"/>
              </w:rPr>
              <w:t>/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F7" w:rsidRDefault="0013384B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13384B">
              <w:rPr>
                <w:rFonts w:eastAsia="仿宋_GB2312"/>
                <w:sz w:val="24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F7" w:rsidRDefault="0013384B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13384B">
              <w:rPr>
                <w:rFonts w:eastAsia="仿宋_GB2312"/>
                <w:sz w:val="24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F7" w:rsidRDefault="004E7993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F7" w:rsidRDefault="004E7993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F7" w:rsidRDefault="004E7993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BF7" w:rsidRDefault="004E7993">
            <w:pPr>
              <w:spacing w:line="2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万元或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万元整倍数</w:t>
            </w:r>
          </w:p>
        </w:tc>
      </w:tr>
      <w:tr w:rsidR="00CC09CF" w:rsidTr="00610A0E">
        <w:trPr>
          <w:cantSplit/>
          <w:trHeight w:val="2554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F7" w:rsidRDefault="004E7993">
            <w:pPr>
              <w:spacing w:line="260" w:lineRule="exact"/>
              <w:jc w:val="center"/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 w:hint="eastAsia"/>
                <w:sz w:val="24"/>
              </w:rPr>
              <w:t>2024</w:t>
            </w:r>
            <w:r>
              <w:rPr>
                <w:rFonts w:eastAsia="仿宋_GB2312"/>
                <w:sz w:val="32"/>
                <w:szCs w:val="32"/>
              </w:rPr>
              <w:t>-</w:t>
            </w:r>
            <w:r>
              <w:rPr>
                <w:rFonts w:eastAsia="仿宋_GB2312" w:hint="eastAsia"/>
                <w:sz w:val="24"/>
              </w:rPr>
              <w:t>ojp03</w:t>
            </w:r>
            <w:r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F7" w:rsidRDefault="004E7993">
            <w:pPr>
              <w:spacing w:line="260" w:lineRule="exact"/>
              <w:jc w:val="left"/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 w:hint="eastAsia"/>
                <w:sz w:val="24"/>
              </w:rPr>
              <w:t>建瓯市徐墩镇桂美村高桥头地块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F7" w:rsidRDefault="004E7993">
            <w:pPr>
              <w:spacing w:line="260" w:lineRule="exact"/>
              <w:jc w:val="center"/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 w:hint="eastAsia"/>
                <w:sz w:val="24"/>
              </w:rPr>
              <w:t>7097.66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F7" w:rsidRDefault="0013384B">
            <w:pPr>
              <w:spacing w:line="2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工业用地</w:t>
            </w:r>
          </w:p>
          <w:p w:rsidR="00C83BF7" w:rsidRDefault="00C83BF7">
            <w:pPr>
              <w:spacing w:line="260" w:lineRule="exact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F7" w:rsidRDefault="004E7993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0.9</w:t>
            </w:r>
            <w:r>
              <w:rPr>
                <w:rFonts w:eastAsia="仿宋_GB2312" w:hint="eastAsia"/>
                <w:sz w:val="24"/>
              </w:rPr>
              <w:t>≤</w:t>
            </w:r>
            <w:r>
              <w:rPr>
                <w:rFonts w:eastAsia="仿宋_GB2312"/>
                <w:sz w:val="24"/>
              </w:rPr>
              <w:t>FAR</w:t>
            </w:r>
            <w:r>
              <w:rPr>
                <w:rFonts w:eastAsia="仿宋_GB2312" w:hint="eastAsia"/>
                <w:sz w:val="24"/>
              </w:rPr>
              <w:t>≤</w:t>
            </w:r>
            <w:r>
              <w:rPr>
                <w:rFonts w:eastAsia="仿宋_GB2312" w:hint="eastAsia"/>
                <w:sz w:val="24"/>
              </w:rPr>
              <w:t>3.0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F7" w:rsidRDefault="004E7993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建筑系数≥</w:t>
            </w:r>
            <w:r>
              <w:rPr>
                <w:rFonts w:eastAsia="仿宋_GB2312" w:hint="eastAsia"/>
                <w:sz w:val="24"/>
              </w:rPr>
              <w:t>40%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F7" w:rsidRDefault="004E7993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项目用地内部一般不得安排非安全生产必需的绿地，严禁建设脱离工业生产需要的花园式工</w:t>
            </w:r>
            <w:r w:rsidRPr="0013384B">
              <w:rPr>
                <w:rFonts w:eastAsia="仿宋_GB2312" w:hint="eastAsia"/>
                <w:sz w:val="24"/>
              </w:rPr>
              <w:t>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F7" w:rsidRDefault="0013384B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13384B">
              <w:rPr>
                <w:rFonts w:eastAsia="仿宋_GB2312"/>
                <w:sz w:val="24"/>
              </w:rPr>
              <w:t>/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F7" w:rsidRPr="00D35050" w:rsidRDefault="004E7993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D35050">
              <w:rPr>
                <w:rFonts w:eastAsia="仿宋_GB2312" w:hint="eastAsia"/>
                <w:sz w:val="24"/>
              </w:rPr>
              <w:t>≤</w:t>
            </w:r>
            <w:r w:rsidRPr="00D35050">
              <w:rPr>
                <w:rFonts w:eastAsia="仿宋_GB2312" w:hint="eastAsia"/>
                <w:sz w:val="24"/>
              </w:rPr>
              <w:t>7%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F7" w:rsidRPr="00D35050" w:rsidRDefault="004E7993">
            <w:pPr>
              <w:spacing w:line="260" w:lineRule="exact"/>
              <w:jc w:val="left"/>
              <w:rPr>
                <w:rFonts w:eastAsia="仿宋_GB2312"/>
                <w:sz w:val="24"/>
              </w:rPr>
            </w:pPr>
            <w:r w:rsidRPr="00D35050">
              <w:rPr>
                <w:rFonts w:eastAsia="仿宋_GB2312" w:hint="eastAsia"/>
                <w:sz w:val="24"/>
              </w:rPr>
              <w:t>非金属矿物制品业</w:t>
            </w:r>
          </w:p>
          <w:p w:rsidR="00C83BF7" w:rsidRPr="00D35050" w:rsidRDefault="00C83BF7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F7" w:rsidRPr="00D35050" w:rsidRDefault="004E7993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D35050">
              <w:rPr>
                <w:rFonts w:eastAsia="仿宋_GB2312" w:hint="eastAsia"/>
                <w:sz w:val="24"/>
              </w:rPr>
              <w:t>≥</w:t>
            </w:r>
            <w:r w:rsidRPr="00D35050">
              <w:rPr>
                <w:rFonts w:eastAsia="仿宋_GB2312" w:hint="eastAsia"/>
                <w:sz w:val="24"/>
              </w:rPr>
              <w:t>79.4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F7" w:rsidRPr="00D35050" w:rsidRDefault="004E7993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D35050">
              <w:rPr>
                <w:rFonts w:eastAsia="仿宋_GB2312" w:hint="eastAsia"/>
                <w:sz w:val="24"/>
              </w:rPr>
              <w:t>50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F7" w:rsidRPr="00D35050" w:rsidRDefault="004E7993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D35050">
              <w:rPr>
                <w:rFonts w:eastAsia="仿宋_GB2312" w:hint="eastAsia"/>
                <w:sz w:val="24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F7" w:rsidRPr="00D35050" w:rsidRDefault="004E7993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D35050">
              <w:rPr>
                <w:rFonts w:eastAsia="仿宋_GB2312" w:hint="eastAsia"/>
                <w:sz w:val="24"/>
              </w:rPr>
              <w:t>17.6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BF7" w:rsidRDefault="004E7993">
            <w:pPr>
              <w:spacing w:line="260" w:lineRule="exact"/>
              <w:jc w:val="left"/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万元或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万元整倍数</w:t>
            </w:r>
          </w:p>
        </w:tc>
      </w:tr>
    </w:tbl>
    <w:p w:rsidR="00C83BF7" w:rsidRDefault="00C83BF7">
      <w:pPr>
        <w:rPr>
          <w:rFonts w:ascii="黑体" w:eastAsia="黑体" w:hAnsi="黑体"/>
          <w:sz w:val="32"/>
          <w:szCs w:val="32"/>
        </w:rPr>
      </w:pPr>
    </w:p>
    <w:bookmarkEnd w:id="0"/>
    <w:p w:rsidR="00C83BF7" w:rsidRDefault="00C83BF7">
      <w:pPr>
        <w:rPr>
          <w:rFonts w:ascii="黑体" w:eastAsia="黑体" w:hAnsi="黑体"/>
          <w:sz w:val="32"/>
          <w:szCs w:val="32"/>
        </w:rPr>
      </w:pPr>
    </w:p>
    <w:sectPr w:rsidR="00C83BF7" w:rsidSect="00EE04AC">
      <w:footerReference w:type="default" r:id="rId6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515" w:rsidRDefault="004E2515">
      <w:r>
        <w:separator/>
      </w:r>
    </w:p>
    <w:p w:rsidR="004E2515" w:rsidRDefault="004E2515"/>
  </w:endnote>
  <w:endnote w:type="continuationSeparator" w:id="0">
    <w:p w:rsidR="004E2515" w:rsidRDefault="004E2515">
      <w:r>
        <w:continuationSeparator/>
      </w:r>
    </w:p>
    <w:p w:rsidR="004E2515" w:rsidRDefault="004E251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93680"/>
    </w:sdtPr>
    <w:sdtContent>
      <w:p w:rsidR="00C83BF7" w:rsidRDefault="00B51018">
        <w:pPr>
          <w:pStyle w:val="a4"/>
          <w:jc w:val="center"/>
        </w:pPr>
        <w:r w:rsidRPr="00B51018">
          <w:fldChar w:fldCharType="begin"/>
        </w:r>
        <w:r w:rsidR="004E7993">
          <w:instrText xml:space="preserve"> PAGE   \* MERGEFORMAT </w:instrText>
        </w:r>
        <w:r w:rsidRPr="00B51018">
          <w:fldChar w:fldCharType="separate"/>
        </w:r>
        <w:r w:rsidR="004A00D7" w:rsidRPr="004A00D7">
          <w:rPr>
            <w:noProof/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:rsidR="00C83BF7" w:rsidRDefault="00C83BF7">
    <w:pPr>
      <w:pStyle w:val="a4"/>
    </w:pPr>
  </w:p>
  <w:p w:rsidR="00B144F1" w:rsidRDefault="00B144F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515" w:rsidRDefault="004E2515">
      <w:r>
        <w:separator/>
      </w:r>
    </w:p>
    <w:p w:rsidR="004E2515" w:rsidRDefault="004E2515"/>
  </w:footnote>
  <w:footnote w:type="continuationSeparator" w:id="0">
    <w:p w:rsidR="004E2515" w:rsidRDefault="004E2515">
      <w:r>
        <w:continuationSeparator/>
      </w:r>
    </w:p>
    <w:p w:rsidR="004E2515" w:rsidRDefault="004E251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EwODExZWRjNDgzMzVhNDZkYWUwMmNkODNmNTY1MzcifQ=="/>
  </w:docVars>
  <w:rsids>
    <w:rsidRoot w:val="0EC75B44"/>
    <w:rsid w:val="0008251B"/>
    <w:rsid w:val="0013384B"/>
    <w:rsid w:val="00182199"/>
    <w:rsid w:val="001A62E8"/>
    <w:rsid w:val="001C2307"/>
    <w:rsid w:val="00203514"/>
    <w:rsid w:val="00207F2B"/>
    <w:rsid w:val="00221868"/>
    <w:rsid w:val="0023262D"/>
    <w:rsid w:val="00253C90"/>
    <w:rsid w:val="0025570F"/>
    <w:rsid w:val="002C28EB"/>
    <w:rsid w:val="00313237"/>
    <w:rsid w:val="00373BEB"/>
    <w:rsid w:val="00434AB6"/>
    <w:rsid w:val="004A00D7"/>
    <w:rsid w:val="004A2549"/>
    <w:rsid w:val="004C78B6"/>
    <w:rsid w:val="004E2515"/>
    <w:rsid w:val="004E7993"/>
    <w:rsid w:val="00535E00"/>
    <w:rsid w:val="00543C71"/>
    <w:rsid w:val="00582808"/>
    <w:rsid w:val="005943B3"/>
    <w:rsid w:val="005A7AFB"/>
    <w:rsid w:val="005B69C2"/>
    <w:rsid w:val="00610A0E"/>
    <w:rsid w:val="00633C4C"/>
    <w:rsid w:val="00637B1E"/>
    <w:rsid w:val="00640D9E"/>
    <w:rsid w:val="00666052"/>
    <w:rsid w:val="0069507D"/>
    <w:rsid w:val="006B5FDD"/>
    <w:rsid w:val="0079292E"/>
    <w:rsid w:val="007B379D"/>
    <w:rsid w:val="007C0968"/>
    <w:rsid w:val="008251FE"/>
    <w:rsid w:val="00832193"/>
    <w:rsid w:val="00842928"/>
    <w:rsid w:val="00941DDF"/>
    <w:rsid w:val="00A126C3"/>
    <w:rsid w:val="00AD4A76"/>
    <w:rsid w:val="00B144F1"/>
    <w:rsid w:val="00B15EF4"/>
    <w:rsid w:val="00B34C4E"/>
    <w:rsid w:val="00B51018"/>
    <w:rsid w:val="00BB18B9"/>
    <w:rsid w:val="00BF6067"/>
    <w:rsid w:val="00C03129"/>
    <w:rsid w:val="00C12BA4"/>
    <w:rsid w:val="00C628A6"/>
    <w:rsid w:val="00C83BF7"/>
    <w:rsid w:val="00CC09CF"/>
    <w:rsid w:val="00D11933"/>
    <w:rsid w:val="00D35050"/>
    <w:rsid w:val="00D816BF"/>
    <w:rsid w:val="00E06B01"/>
    <w:rsid w:val="00E51A96"/>
    <w:rsid w:val="00E52352"/>
    <w:rsid w:val="00EE04AC"/>
    <w:rsid w:val="00F50D5E"/>
    <w:rsid w:val="00F656E1"/>
    <w:rsid w:val="00F65F2A"/>
    <w:rsid w:val="00FB6025"/>
    <w:rsid w:val="02AE45B7"/>
    <w:rsid w:val="0D123874"/>
    <w:rsid w:val="0EC75B44"/>
    <w:rsid w:val="185F51E7"/>
    <w:rsid w:val="203820E1"/>
    <w:rsid w:val="26D05043"/>
    <w:rsid w:val="28BF217D"/>
    <w:rsid w:val="2C05648F"/>
    <w:rsid w:val="2D093059"/>
    <w:rsid w:val="30643F13"/>
    <w:rsid w:val="3085536F"/>
    <w:rsid w:val="37143BC1"/>
    <w:rsid w:val="3B9603ED"/>
    <w:rsid w:val="49D33277"/>
    <w:rsid w:val="4A4E6955"/>
    <w:rsid w:val="4B1E50CD"/>
    <w:rsid w:val="4D587BF8"/>
    <w:rsid w:val="51575B36"/>
    <w:rsid w:val="55FF30A4"/>
    <w:rsid w:val="59FD190B"/>
    <w:rsid w:val="5DB43AC0"/>
    <w:rsid w:val="61AB1227"/>
    <w:rsid w:val="633600DA"/>
    <w:rsid w:val="63902D49"/>
    <w:rsid w:val="6EF72976"/>
    <w:rsid w:val="78D55BFB"/>
    <w:rsid w:val="78EA0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B144F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sid w:val="00B144F1"/>
    <w:rPr>
      <w:sz w:val="18"/>
      <w:szCs w:val="18"/>
    </w:rPr>
  </w:style>
  <w:style w:type="paragraph" w:styleId="a4">
    <w:name w:val="footer"/>
    <w:basedOn w:val="a"/>
    <w:autoRedefine/>
    <w:uiPriority w:val="99"/>
    <w:qFormat/>
    <w:rsid w:val="00B14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qFormat/>
    <w:rsid w:val="00B14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autoRedefine/>
    <w:qFormat/>
    <w:rsid w:val="00B144F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autoRedefine/>
    <w:qFormat/>
    <w:rsid w:val="00B144F1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Pr>
      <w:sz w:val="18"/>
      <w:szCs w:val="18"/>
    </w:r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autoRedefine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autoRedefine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272</Words>
  <Characters>1553</Characters>
  <Application>Microsoft Office Word</Application>
  <DocSecurity>0</DocSecurity>
  <Lines>12</Lines>
  <Paragraphs>3</Paragraphs>
  <ScaleCrop>false</ScaleCrop>
  <Company>Microsoft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ICBC</dc:creator>
  <cp:lastModifiedBy>2014</cp:lastModifiedBy>
  <cp:revision>2</cp:revision>
  <cp:lastPrinted>2024-09-09T09:05:00Z</cp:lastPrinted>
  <dcterms:created xsi:type="dcterms:W3CDTF">2024-09-09T09:28:00Z</dcterms:created>
  <dcterms:modified xsi:type="dcterms:W3CDTF">2024-09-09T09:28:00Z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92F8871AF782419E8539D5EC099017C9_13</vt:lpwstr>
  </property>
</Properties>
</file>