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sz w:val="32"/>
          <w:szCs w:val="20"/>
        </w:rPr>
      </w:pP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480" w:lineRule="auto"/>
        <w:ind w:left="0" w:leftChars="0" w:right="0" w:firstLine="0" w:firstLineChars="0"/>
        <w:jc w:val="center"/>
        <w:textAlignment w:val="auto"/>
        <w:rPr>
          <w:rFonts w:hint="eastAsia" w:eastAsia="宋体"/>
          <w:b/>
          <w:bCs/>
          <w:color w:val="auto"/>
          <w:sz w:val="36"/>
          <w:szCs w:val="21"/>
          <w:lang w:eastAsia="zh-CN"/>
        </w:rPr>
      </w:pPr>
      <w:r>
        <w:rPr>
          <w:rFonts w:hint="eastAsia"/>
          <w:b/>
          <w:bCs/>
          <w:sz w:val="36"/>
          <w:szCs w:val="21"/>
          <w:lang w:eastAsia="zh-CN"/>
        </w:rPr>
        <w:t>浦城县乡村振兴示范带建设项目（20条示范带）工程总承包项目预算编制服务</w:t>
      </w: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480" w:lineRule="auto"/>
        <w:ind w:left="0" w:leftChars="0" w:right="0" w:firstLine="0" w:firstLineChars="0"/>
        <w:jc w:val="center"/>
        <w:textAlignment w:val="auto"/>
        <w:rPr>
          <w:rFonts w:hint="eastAsia" w:cs="宋体"/>
          <w:b/>
          <w:bCs/>
          <w:color w:val="000000"/>
          <w:spacing w:val="0"/>
          <w:w w:val="100"/>
          <w:position w:val="0"/>
          <w:sz w:val="32"/>
          <w:szCs w:val="32"/>
          <w:lang w:val="en-US" w:eastAsia="zh-CN"/>
        </w:rPr>
      </w:pPr>
      <w:r>
        <w:rPr>
          <w:rFonts w:hint="eastAsia" w:ascii="宋体" w:hAnsi="宋体" w:eastAsia="宋体" w:cs="宋体"/>
          <w:b w:val="0"/>
          <w:bCs w:val="0"/>
          <w:color w:val="000000"/>
          <w:spacing w:val="0"/>
          <w:w w:val="100"/>
          <w:position w:val="0"/>
          <w:sz w:val="32"/>
          <w:szCs w:val="32"/>
        </w:rPr>
        <w:t>（</w:t>
      </w:r>
      <w:r>
        <w:rPr>
          <w:rFonts w:hint="eastAsia" w:cs="宋体"/>
          <w:b w:val="0"/>
          <w:bCs w:val="0"/>
          <w:color w:val="000000"/>
          <w:spacing w:val="0"/>
          <w:w w:val="100"/>
          <w:position w:val="0"/>
          <w:sz w:val="32"/>
          <w:szCs w:val="32"/>
          <w:lang w:val="en-US" w:eastAsia="zh-CN"/>
        </w:rPr>
        <w:t>招标</w:t>
      </w:r>
      <w:r>
        <w:rPr>
          <w:rFonts w:hint="eastAsia" w:ascii="宋体" w:hAnsi="宋体" w:eastAsia="宋体" w:cs="宋体"/>
          <w:b w:val="0"/>
          <w:bCs w:val="0"/>
          <w:color w:val="000000"/>
          <w:spacing w:val="0"/>
          <w:w w:val="100"/>
          <w:position w:val="0"/>
          <w:sz w:val="32"/>
          <w:szCs w:val="32"/>
        </w:rPr>
        <w:t>采购编号：</w:t>
      </w:r>
      <w:r>
        <w:rPr>
          <w:rFonts w:hint="eastAsia" w:ascii="宋体" w:hAnsi="宋体" w:eastAsia="宋体" w:cs="宋体"/>
          <w:b w:val="0"/>
          <w:bCs w:val="0"/>
          <w:sz w:val="32"/>
          <w:szCs w:val="32"/>
          <w:u w:val="single"/>
        </w:rPr>
        <w:t xml:space="preserve"> </w:t>
      </w:r>
      <w:r>
        <w:rPr>
          <w:rFonts w:hint="eastAsia" w:cs="宋体"/>
          <w:b w:val="0"/>
          <w:bCs w:val="0"/>
          <w:sz w:val="32"/>
          <w:szCs w:val="32"/>
          <w:u w:val="single"/>
          <w:lang w:val="en-US" w:eastAsia="zh-CN"/>
        </w:rPr>
        <w:t>PHZC[2024]040号</w:t>
      </w:r>
      <w:r>
        <w:rPr>
          <w:rFonts w:hint="eastAsia" w:ascii="宋体" w:hAnsi="宋体" w:eastAsia="宋体" w:cs="宋体"/>
          <w:b w:val="0"/>
          <w:bCs w:val="0"/>
          <w:color w:val="000000"/>
          <w:spacing w:val="0"/>
          <w:w w:val="100"/>
          <w:position w:val="0"/>
          <w:sz w:val="32"/>
          <w:szCs w:val="32"/>
        </w:rPr>
        <w:t>）</w:t>
      </w: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cs="宋体"/>
          <w:b/>
          <w:bCs/>
          <w:color w:val="000000"/>
          <w:spacing w:val="0"/>
          <w:w w:val="100"/>
          <w:position w:val="0"/>
          <w:sz w:val="84"/>
          <w:szCs w:val="84"/>
          <w:lang w:val="en-US" w:eastAsia="zh-CN"/>
        </w:rPr>
      </w:pP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84"/>
          <w:szCs w:val="84"/>
          <w:lang w:val="en-US" w:eastAsia="zh-CN"/>
        </w:rPr>
      </w:pPr>
      <w:r>
        <w:rPr>
          <w:rFonts w:hint="eastAsia" w:cs="宋体"/>
          <w:b/>
          <w:bCs/>
          <w:color w:val="000000"/>
          <w:spacing w:val="0"/>
          <w:w w:val="100"/>
          <w:position w:val="0"/>
          <w:sz w:val="84"/>
          <w:szCs w:val="84"/>
          <w:lang w:val="en-US" w:eastAsia="zh-CN"/>
        </w:rPr>
        <w:t>询比采购文件</w:t>
      </w: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cs="宋体"/>
          <w:b/>
          <w:bCs/>
          <w:color w:val="000000"/>
          <w:spacing w:val="0"/>
          <w:w w:val="100"/>
          <w:position w:val="0"/>
          <w:sz w:val="84"/>
          <w:szCs w:val="84"/>
          <w:lang w:val="en-US" w:eastAsia="zh-CN"/>
        </w:rPr>
      </w:pP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rPr>
      </w:pP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48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lang w:val="en-US" w:eastAsia="zh-CN"/>
        </w:rPr>
      </w:pPr>
      <w:r>
        <w:rPr>
          <w:rFonts w:hint="eastAsia" w:ascii="宋体" w:hAnsi="宋体" w:eastAsia="宋体" w:cs="宋体"/>
          <w:color w:val="000000"/>
          <w:spacing w:val="0"/>
          <w:w w:val="100"/>
          <w:position w:val="0"/>
          <w:sz w:val="32"/>
          <w:szCs w:val="32"/>
        </w:rPr>
        <w:t>采购人：</w:t>
      </w:r>
      <w:r>
        <w:rPr>
          <w:rFonts w:hint="eastAsia" w:cs="宋体"/>
          <w:sz w:val="32"/>
          <w:szCs w:val="32"/>
          <w:u w:val="single"/>
          <w:lang w:eastAsia="zh-CN"/>
        </w:rPr>
        <w:t>浦城县交通工程建设开发有限公司</w:t>
      </w:r>
      <w:r>
        <w:rPr>
          <w:rFonts w:hint="eastAsia" w:ascii="宋体" w:hAnsi="宋体" w:eastAsia="宋体" w:cs="宋体"/>
          <w:color w:val="000000"/>
          <w:spacing w:val="0"/>
          <w:w w:val="100"/>
          <w:position w:val="0"/>
          <w:sz w:val="32"/>
          <w:szCs w:val="32"/>
          <w:u w:val="single"/>
        </w:rPr>
        <w:t>（盖单位章）</w:t>
      </w: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48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lang w:eastAsia="zh-CN"/>
        </w:rPr>
      </w:pPr>
      <w:r>
        <w:rPr>
          <w:rFonts w:hint="eastAsia" w:ascii="宋体" w:hAnsi="宋体" w:eastAsia="宋体" w:cs="宋体"/>
          <w:color w:val="000000"/>
          <w:spacing w:val="0"/>
          <w:w w:val="100"/>
          <w:position w:val="0"/>
          <w:sz w:val="32"/>
          <w:szCs w:val="32"/>
        </w:rPr>
        <w:t>采购代理机构</w:t>
      </w:r>
      <w:r>
        <w:rPr>
          <w:rFonts w:hint="eastAsia" w:cs="宋体"/>
          <w:color w:val="000000"/>
          <w:spacing w:val="0"/>
          <w:w w:val="100"/>
          <w:position w:val="0"/>
          <w:sz w:val="32"/>
          <w:szCs w:val="32"/>
          <w:lang w:eastAsia="zh-CN"/>
        </w:rPr>
        <w:t>：</w:t>
      </w:r>
      <w:r>
        <w:rPr>
          <w:rFonts w:hint="eastAsia" w:cs="宋体"/>
          <w:color w:val="000000"/>
          <w:spacing w:val="0"/>
          <w:w w:val="100"/>
          <w:position w:val="0"/>
          <w:sz w:val="32"/>
          <w:szCs w:val="32"/>
          <w:u w:val="single"/>
          <w:lang w:eastAsia="zh-CN"/>
        </w:rPr>
        <w:t>浦城县浦宏工程咨询有限公司</w:t>
      </w:r>
      <w:r>
        <w:rPr>
          <w:rFonts w:hint="eastAsia" w:ascii="宋体" w:hAnsi="宋体" w:eastAsia="宋体" w:cs="宋体"/>
          <w:color w:val="000000"/>
          <w:spacing w:val="0"/>
          <w:w w:val="100"/>
          <w:position w:val="0"/>
          <w:sz w:val="32"/>
          <w:szCs w:val="32"/>
          <w:u w:val="single"/>
        </w:rPr>
        <w:t>（盖单位章）</w:t>
      </w:r>
    </w:p>
    <w:p>
      <w:pPr>
        <w:pStyle w:val="27"/>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480" w:lineRule="auto"/>
        <w:ind w:left="0" w:leftChars="0" w:right="0" w:firstLine="0" w:firstLineChars="0"/>
        <w:jc w:val="center"/>
        <w:textAlignment w:val="auto"/>
        <w:rPr>
          <w:rFonts w:hint="default" w:ascii="宋体" w:hAnsi="宋体" w:eastAsia="宋体" w:cs="宋体"/>
          <w:color w:val="000000"/>
          <w:spacing w:val="0"/>
          <w:w w:val="100"/>
          <w:position w:val="0"/>
          <w:sz w:val="32"/>
          <w:szCs w:val="32"/>
          <w:u w:val="none"/>
          <w:lang w:val="en-US" w:eastAsia="zh-CN"/>
        </w:rPr>
      </w:pPr>
      <w:r>
        <w:rPr>
          <w:rFonts w:hint="eastAsia" w:cs="宋体"/>
          <w:sz w:val="32"/>
          <w:szCs w:val="32"/>
          <w:u w:val="single"/>
          <w:lang w:val="en-US" w:eastAsia="zh-CN"/>
        </w:rPr>
        <w:t xml:space="preserve"> 2024 </w:t>
      </w:r>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05 </w:t>
      </w:r>
      <w:r>
        <w:rPr>
          <w:rFonts w:hint="eastAsia" w:ascii="宋体" w:hAnsi="宋体" w:eastAsia="宋体" w:cs="宋体"/>
          <w:color w:val="000000"/>
          <w:spacing w:val="0"/>
          <w:w w:val="100"/>
          <w:position w:val="0"/>
          <w:sz w:val="32"/>
          <w:szCs w:val="32"/>
        </w:rPr>
        <w:t>月</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23 </w:t>
      </w:r>
      <w:r>
        <w:rPr>
          <w:rFonts w:hint="eastAsia" w:cs="宋体"/>
          <w:sz w:val="32"/>
          <w:szCs w:val="32"/>
          <w:u w:val="none"/>
          <w:lang w:val="en-US" w:eastAsia="zh-CN"/>
        </w:rPr>
        <w:t>日</w:t>
      </w:r>
    </w:p>
    <w:p>
      <w:pPr>
        <w:rPr>
          <w:rFonts w:ascii="宋体" w:hAnsi="宋体" w:eastAsia="宋体" w:cs="Times New Roman"/>
          <w:b/>
          <w:color w:val="000000"/>
          <w:spacing w:val="0"/>
          <w:w w:val="100"/>
          <w:position w:val="0"/>
          <w:sz w:val="32"/>
          <w:szCs w:val="24"/>
          <w:shd w:val="clear" w:color="auto" w:fill="auto"/>
          <w:lang w:val="en-US" w:eastAsia="en-US" w:bidi="en-US"/>
        </w:rPr>
      </w:pPr>
      <w:r>
        <w:rPr>
          <w:rFonts w:ascii="宋体" w:hAnsi="宋体" w:eastAsia="宋体" w:cs="Times New Roman"/>
          <w:b/>
          <w:color w:val="000000"/>
          <w:spacing w:val="0"/>
          <w:w w:val="100"/>
          <w:position w:val="0"/>
          <w:sz w:val="32"/>
          <w:szCs w:val="24"/>
          <w:shd w:val="clear" w:color="auto" w:fill="auto"/>
          <w:lang w:val="en-US" w:eastAsia="en-US" w:bidi="en-US"/>
        </w:rPr>
        <w:br w:type="page"/>
      </w:r>
    </w:p>
    <w:sdt>
      <w:sdtPr>
        <w:rPr>
          <w:rFonts w:ascii="宋体" w:hAnsi="宋体" w:eastAsia="宋体" w:cs="Times New Roman"/>
          <w:color w:val="000000"/>
          <w:spacing w:val="0"/>
          <w:w w:val="100"/>
          <w:position w:val="0"/>
          <w:sz w:val="21"/>
          <w:szCs w:val="24"/>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color w:val="000000"/>
          <w:spacing w:val="0"/>
          <w:w w:val="100"/>
          <w:position w:val="0"/>
          <w:sz w:val="22"/>
          <w:szCs w:val="52"/>
          <w:u w:val="none"/>
          <w:shd w:val="clear" w:color="auto" w:fill="auto"/>
          <w:lang w:val="en-US" w:eastAsia="zh-CN" w:bidi="zh-TW"/>
        </w:rPr>
      </w:sdtEndPr>
      <w:sdtContent>
        <w:p>
          <w:pPr>
            <w:spacing w:before="0" w:beforeLines="0" w:after="0" w:afterLines="0" w:line="240" w:lineRule="auto"/>
            <w:ind w:left="0" w:leftChars="0" w:right="0" w:rightChars="0" w:firstLine="0" w:firstLineChars="0"/>
            <w:jc w:val="center"/>
            <w:rPr>
              <w:rFonts w:ascii="宋体" w:hAnsi="宋体" w:eastAsia="宋体"/>
              <w:b/>
              <w:sz w:val="28"/>
            </w:rPr>
          </w:pPr>
          <w:bookmarkStart w:id="0" w:name="bookmark168"/>
          <w:bookmarkStart w:id="1" w:name="bookmark167"/>
          <w:bookmarkStart w:id="2" w:name="bookmark169"/>
          <w:r>
            <w:rPr>
              <w:rFonts w:ascii="宋体" w:hAnsi="宋体" w:eastAsia="宋体"/>
              <w:b/>
              <w:sz w:val="28"/>
            </w:rPr>
            <w:t>目录</w:t>
          </w:r>
        </w:p>
        <w:p>
          <w:pPr>
            <w:pStyle w:val="15"/>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color w:val="000000"/>
              <w:spacing w:val="0"/>
              <w:w w:val="100"/>
              <w:position w:val="0"/>
              <w:sz w:val="28"/>
              <w:szCs w:val="56"/>
              <w:lang w:val="en-US" w:eastAsia="zh-CN"/>
            </w:rPr>
            <w:instrText xml:space="preserve">TOC \o "1-3" \h \u </w:instrText>
          </w:r>
          <w:r>
            <w:rPr>
              <w:rFonts w:hint="eastAsia" w:eastAsia="宋体" w:cs="宋体"/>
              <w:color w:val="000000"/>
              <w:spacing w:val="0"/>
              <w:w w:val="100"/>
              <w:position w:val="0"/>
              <w:sz w:val="28"/>
              <w:szCs w:val="56"/>
              <w:lang w:val="en-US" w:eastAsia="zh-CN"/>
            </w:rPr>
            <w:fldChar w:fldCharType="separate"/>
          </w: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_Toc30826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56"/>
              <w:lang w:val="en-US" w:eastAsia="zh-CN"/>
            </w:rPr>
            <w:t>第一章   询比采购邀请书</w:t>
          </w:r>
          <w:r>
            <w:rPr>
              <w:sz w:val="28"/>
              <w:szCs w:val="28"/>
            </w:rPr>
            <w:tab/>
          </w:r>
          <w:r>
            <w:rPr>
              <w:sz w:val="28"/>
              <w:szCs w:val="28"/>
            </w:rPr>
            <w:fldChar w:fldCharType="begin"/>
          </w:r>
          <w:r>
            <w:rPr>
              <w:sz w:val="28"/>
              <w:szCs w:val="28"/>
            </w:rPr>
            <w:instrText xml:space="preserve"> PAGEREF _Toc30826 \h </w:instrText>
          </w:r>
          <w:r>
            <w:rPr>
              <w:sz w:val="28"/>
              <w:szCs w:val="28"/>
            </w:rPr>
            <w:fldChar w:fldCharType="separate"/>
          </w:r>
          <w:r>
            <w:rPr>
              <w:sz w:val="28"/>
              <w:szCs w:val="28"/>
            </w:rPr>
            <w:t>4</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_Toc11205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kern w:val="44"/>
              <w:sz w:val="28"/>
              <w:szCs w:val="32"/>
              <w:lang w:eastAsia="zh-CN"/>
            </w:rPr>
            <w:t>1 采购项目简介</w:t>
          </w:r>
          <w:r>
            <w:rPr>
              <w:sz w:val="28"/>
              <w:szCs w:val="28"/>
            </w:rPr>
            <w:tab/>
          </w:r>
          <w:r>
            <w:rPr>
              <w:sz w:val="28"/>
              <w:szCs w:val="28"/>
            </w:rPr>
            <w:fldChar w:fldCharType="begin"/>
          </w:r>
          <w:r>
            <w:rPr>
              <w:sz w:val="28"/>
              <w:szCs w:val="28"/>
            </w:rPr>
            <w:instrText xml:space="preserve"> PAGEREF _Toc11205 \h </w:instrText>
          </w:r>
          <w:r>
            <w:rPr>
              <w:sz w:val="28"/>
              <w:szCs w:val="28"/>
            </w:rPr>
            <w:fldChar w:fldCharType="separate"/>
          </w:r>
          <w:r>
            <w:rPr>
              <w:sz w:val="28"/>
              <w:szCs w:val="28"/>
            </w:rPr>
            <w:t>5</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_Toc1629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kern w:val="44"/>
              <w:sz w:val="28"/>
              <w:szCs w:val="32"/>
              <w:lang w:eastAsia="zh-CN"/>
            </w:rPr>
            <w:t>2 采购范围及相关要求</w:t>
          </w:r>
          <w:r>
            <w:rPr>
              <w:sz w:val="28"/>
              <w:szCs w:val="28"/>
            </w:rPr>
            <w:tab/>
          </w:r>
          <w:r>
            <w:rPr>
              <w:sz w:val="28"/>
              <w:szCs w:val="28"/>
            </w:rPr>
            <w:fldChar w:fldCharType="begin"/>
          </w:r>
          <w:r>
            <w:rPr>
              <w:sz w:val="28"/>
              <w:szCs w:val="28"/>
            </w:rPr>
            <w:instrText xml:space="preserve"> PAGEREF _Toc1629 \h </w:instrText>
          </w:r>
          <w:r>
            <w:rPr>
              <w:sz w:val="28"/>
              <w:szCs w:val="28"/>
            </w:rPr>
            <w:fldChar w:fldCharType="separate"/>
          </w:r>
          <w:r>
            <w:rPr>
              <w:sz w:val="28"/>
              <w:szCs w:val="28"/>
            </w:rPr>
            <w:t>5</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_Toc7176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kern w:val="44"/>
              <w:sz w:val="28"/>
              <w:szCs w:val="32"/>
              <w:lang w:eastAsia="zh-CN"/>
            </w:rPr>
            <w:t>3 供应商资格要求</w:t>
          </w:r>
          <w:r>
            <w:rPr>
              <w:sz w:val="28"/>
              <w:szCs w:val="28"/>
            </w:rPr>
            <w:tab/>
          </w:r>
          <w:r>
            <w:rPr>
              <w:sz w:val="28"/>
              <w:szCs w:val="28"/>
            </w:rPr>
            <w:fldChar w:fldCharType="begin"/>
          </w:r>
          <w:r>
            <w:rPr>
              <w:sz w:val="28"/>
              <w:szCs w:val="28"/>
            </w:rPr>
            <w:instrText xml:space="preserve"> PAGEREF _Toc7176 \h </w:instrText>
          </w:r>
          <w:r>
            <w:rPr>
              <w:sz w:val="28"/>
              <w:szCs w:val="28"/>
            </w:rPr>
            <w:fldChar w:fldCharType="separate"/>
          </w:r>
          <w:r>
            <w:rPr>
              <w:sz w:val="28"/>
              <w:szCs w:val="28"/>
            </w:rPr>
            <w:t>5</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_Toc8289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kern w:val="44"/>
              <w:sz w:val="28"/>
              <w:szCs w:val="32"/>
              <w:lang w:eastAsia="zh-CN"/>
            </w:rPr>
            <w:t>4 采购文件的获取</w:t>
          </w:r>
          <w:r>
            <w:rPr>
              <w:sz w:val="28"/>
              <w:szCs w:val="28"/>
            </w:rPr>
            <w:tab/>
          </w:r>
          <w:r>
            <w:rPr>
              <w:sz w:val="28"/>
              <w:szCs w:val="28"/>
            </w:rPr>
            <w:fldChar w:fldCharType="begin"/>
          </w:r>
          <w:r>
            <w:rPr>
              <w:sz w:val="28"/>
              <w:szCs w:val="28"/>
            </w:rPr>
            <w:instrText xml:space="preserve"> PAGEREF _Toc8289 \h </w:instrText>
          </w:r>
          <w:r>
            <w:rPr>
              <w:sz w:val="28"/>
              <w:szCs w:val="28"/>
            </w:rPr>
            <w:fldChar w:fldCharType="separate"/>
          </w:r>
          <w:r>
            <w:rPr>
              <w:sz w:val="28"/>
              <w:szCs w:val="28"/>
            </w:rPr>
            <w:t>6</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_Toc25141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kern w:val="44"/>
              <w:sz w:val="28"/>
              <w:szCs w:val="32"/>
              <w:lang w:eastAsia="zh-CN"/>
            </w:rPr>
            <w:t>5 响应文件的递交</w:t>
          </w:r>
          <w:r>
            <w:rPr>
              <w:sz w:val="28"/>
              <w:szCs w:val="28"/>
            </w:rPr>
            <w:tab/>
          </w:r>
          <w:r>
            <w:rPr>
              <w:sz w:val="28"/>
              <w:szCs w:val="28"/>
            </w:rPr>
            <w:fldChar w:fldCharType="begin"/>
          </w:r>
          <w:r>
            <w:rPr>
              <w:sz w:val="28"/>
              <w:szCs w:val="28"/>
            </w:rPr>
            <w:instrText xml:space="preserve"> PAGEREF _Toc25141 \h </w:instrText>
          </w:r>
          <w:r>
            <w:rPr>
              <w:sz w:val="28"/>
              <w:szCs w:val="28"/>
            </w:rPr>
            <w:fldChar w:fldCharType="separate"/>
          </w:r>
          <w:r>
            <w:rPr>
              <w:sz w:val="28"/>
              <w:szCs w:val="28"/>
            </w:rPr>
            <w:t>6</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_Toc4941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kern w:val="44"/>
              <w:sz w:val="28"/>
              <w:szCs w:val="32"/>
              <w:lang w:eastAsia="zh-CN"/>
            </w:rPr>
            <w:t>6 响应文件开启时间和地点</w:t>
          </w:r>
          <w:r>
            <w:rPr>
              <w:sz w:val="28"/>
              <w:szCs w:val="28"/>
            </w:rPr>
            <w:tab/>
          </w:r>
          <w:r>
            <w:rPr>
              <w:sz w:val="28"/>
              <w:szCs w:val="28"/>
            </w:rPr>
            <w:fldChar w:fldCharType="begin"/>
          </w:r>
          <w:r>
            <w:rPr>
              <w:sz w:val="28"/>
              <w:szCs w:val="28"/>
            </w:rPr>
            <w:instrText xml:space="preserve"> PAGEREF _Toc4941 \h </w:instrText>
          </w:r>
          <w:r>
            <w:rPr>
              <w:sz w:val="28"/>
              <w:szCs w:val="28"/>
            </w:rPr>
            <w:fldChar w:fldCharType="separate"/>
          </w:r>
          <w:r>
            <w:rPr>
              <w:sz w:val="28"/>
              <w:szCs w:val="28"/>
            </w:rPr>
            <w:t>6</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_Toc12987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kern w:val="44"/>
              <w:sz w:val="28"/>
              <w:szCs w:val="32"/>
              <w:lang w:eastAsia="zh-CN"/>
            </w:rPr>
            <w:t>7 确认</w:t>
          </w:r>
          <w:r>
            <w:rPr>
              <w:sz w:val="28"/>
              <w:szCs w:val="28"/>
            </w:rPr>
            <w:tab/>
          </w:r>
          <w:r>
            <w:rPr>
              <w:sz w:val="28"/>
              <w:szCs w:val="28"/>
            </w:rPr>
            <w:fldChar w:fldCharType="begin"/>
          </w:r>
          <w:r>
            <w:rPr>
              <w:sz w:val="28"/>
              <w:szCs w:val="28"/>
            </w:rPr>
            <w:instrText xml:space="preserve"> PAGEREF _Toc12987 \h </w:instrText>
          </w:r>
          <w:r>
            <w:rPr>
              <w:sz w:val="28"/>
              <w:szCs w:val="28"/>
            </w:rPr>
            <w:fldChar w:fldCharType="separate"/>
          </w:r>
          <w:r>
            <w:rPr>
              <w:sz w:val="28"/>
              <w:szCs w:val="28"/>
            </w:rPr>
            <w:t>7</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_Toc14588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kern w:val="44"/>
              <w:sz w:val="28"/>
              <w:szCs w:val="32"/>
              <w:lang w:val="en-US" w:eastAsia="zh-CN"/>
            </w:rPr>
            <w:t>8</w:t>
          </w:r>
          <w:r>
            <w:rPr>
              <w:rFonts w:hint="eastAsia" w:ascii="宋体" w:hAnsi="宋体" w:eastAsia="宋体" w:cs="宋体"/>
              <w:bCs/>
              <w:kern w:val="44"/>
              <w:sz w:val="28"/>
              <w:szCs w:val="32"/>
              <w:lang w:eastAsia="zh-CN"/>
            </w:rPr>
            <w:t xml:space="preserve"> </w:t>
          </w:r>
          <w:r>
            <w:rPr>
              <w:rFonts w:hint="eastAsia" w:ascii="宋体" w:hAnsi="宋体" w:eastAsia="宋体" w:cs="宋体"/>
              <w:bCs/>
              <w:spacing w:val="0"/>
              <w:w w:val="100"/>
              <w:kern w:val="44"/>
              <w:position w:val="0"/>
              <w:sz w:val="28"/>
              <w:szCs w:val="32"/>
              <w:shd w:val="clear" w:color="auto" w:fill="auto"/>
              <w:lang w:val="en-US" w:eastAsia="en-US" w:bidi="en-US"/>
            </w:rPr>
            <w:t>其他</w:t>
          </w:r>
          <w:r>
            <w:rPr>
              <w:sz w:val="28"/>
              <w:szCs w:val="28"/>
            </w:rPr>
            <w:tab/>
          </w:r>
          <w:r>
            <w:rPr>
              <w:sz w:val="28"/>
              <w:szCs w:val="28"/>
            </w:rPr>
            <w:fldChar w:fldCharType="begin"/>
          </w:r>
          <w:r>
            <w:rPr>
              <w:sz w:val="28"/>
              <w:szCs w:val="28"/>
            </w:rPr>
            <w:instrText xml:space="preserve"> PAGEREF _Toc14588 \h </w:instrText>
          </w:r>
          <w:r>
            <w:rPr>
              <w:sz w:val="28"/>
              <w:szCs w:val="28"/>
            </w:rPr>
            <w:fldChar w:fldCharType="separate"/>
          </w:r>
          <w:r>
            <w:rPr>
              <w:sz w:val="28"/>
              <w:szCs w:val="28"/>
            </w:rPr>
            <w:t>7</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_Toc17037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spacing w:val="0"/>
              <w:w w:val="100"/>
              <w:kern w:val="44"/>
              <w:position w:val="0"/>
              <w:sz w:val="28"/>
              <w:szCs w:val="32"/>
              <w:shd w:val="clear" w:color="auto" w:fill="auto"/>
              <w:lang w:val="en-US" w:eastAsia="en-US" w:bidi="en-US"/>
            </w:rPr>
            <w:t>9</w:t>
          </w:r>
          <w:r>
            <w:rPr>
              <w:rFonts w:hint="eastAsia" w:ascii="宋体" w:hAnsi="宋体" w:eastAsia="宋体" w:cs="宋体"/>
              <w:bCs/>
              <w:spacing w:val="0"/>
              <w:w w:val="100"/>
              <w:kern w:val="44"/>
              <w:position w:val="0"/>
              <w:sz w:val="28"/>
              <w:szCs w:val="32"/>
              <w:shd w:val="clear" w:color="auto" w:fill="auto"/>
              <w:lang w:val="en-US" w:eastAsia="zh-CN" w:bidi="en-US"/>
            </w:rPr>
            <w:t xml:space="preserve"> </w:t>
          </w:r>
          <w:r>
            <w:rPr>
              <w:rFonts w:hint="eastAsia" w:ascii="宋体" w:hAnsi="宋体" w:eastAsia="宋体" w:cs="宋体"/>
              <w:bCs/>
              <w:spacing w:val="0"/>
              <w:w w:val="100"/>
              <w:kern w:val="44"/>
              <w:position w:val="0"/>
              <w:sz w:val="28"/>
              <w:szCs w:val="32"/>
              <w:shd w:val="clear" w:color="auto" w:fill="auto"/>
              <w:lang w:val="en-US" w:eastAsia="en-US" w:bidi="en-US"/>
            </w:rPr>
            <w:t>联系方式</w:t>
          </w:r>
          <w:r>
            <w:rPr>
              <w:sz w:val="28"/>
              <w:szCs w:val="28"/>
            </w:rPr>
            <w:tab/>
          </w:r>
          <w:r>
            <w:rPr>
              <w:sz w:val="28"/>
              <w:szCs w:val="28"/>
            </w:rPr>
            <w:fldChar w:fldCharType="begin"/>
          </w:r>
          <w:r>
            <w:rPr>
              <w:sz w:val="28"/>
              <w:szCs w:val="28"/>
            </w:rPr>
            <w:instrText xml:space="preserve"> PAGEREF _Toc17037 \h </w:instrText>
          </w:r>
          <w:r>
            <w:rPr>
              <w:sz w:val="28"/>
              <w:szCs w:val="28"/>
            </w:rPr>
            <w:fldChar w:fldCharType="separate"/>
          </w:r>
          <w:r>
            <w:rPr>
              <w:sz w:val="28"/>
              <w:szCs w:val="28"/>
            </w:rPr>
            <w:t>7</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5"/>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_Toc21327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sz w:val="28"/>
              <w:szCs w:val="36"/>
            </w:rPr>
            <w:t>确认通知</w:t>
          </w:r>
          <w:r>
            <w:rPr>
              <w:sz w:val="28"/>
              <w:szCs w:val="28"/>
            </w:rPr>
            <w:tab/>
          </w:r>
          <w:r>
            <w:rPr>
              <w:sz w:val="28"/>
              <w:szCs w:val="28"/>
            </w:rPr>
            <w:fldChar w:fldCharType="begin"/>
          </w:r>
          <w:r>
            <w:rPr>
              <w:sz w:val="28"/>
              <w:szCs w:val="28"/>
            </w:rPr>
            <w:instrText xml:space="preserve"> PAGEREF _Toc21327 \h </w:instrText>
          </w:r>
          <w:r>
            <w:rPr>
              <w:sz w:val="28"/>
              <w:szCs w:val="28"/>
            </w:rPr>
            <w:fldChar w:fldCharType="separate"/>
          </w:r>
          <w:r>
            <w:rPr>
              <w:sz w:val="28"/>
              <w:szCs w:val="28"/>
            </w:rPr>
            <w:t>9</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5"/>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_Toc4329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56"/>
              <w:lang w:val="en-US" w:eastAsia="zh-CN"/>
            </w:rPr>
            <w:t>第二章   供应商须知</w:t>
          </w:r>
          <w:r>
            <w:rPr>
              <w:sz w:val="28"/>
              <w:szCs w:val="28"/>
            </w:rPr>
            <w:tab/>
          </w:r>
          <w:r>
            <w:rPr>
              <w:sz w:val="28"/>
              <w:szCs w:val="28"/>
            </w:rPr>
            <w:fldChar w:fldCharType="begin"/>
          </w:r>
          <w:r>
            <w:rPr>
              <w:sz w:val="28"/>
              <w:szCs w:val="28"/>
            </w:rPr>
            <w:instrText xml:space="preserve"> PAGEREF _Toc4329 \h </w:instrText>
          </w:r>
          <w:r>
            <w:rPr>
              <w:sz w:val="28"/>
              <w:szCs w:val="28"/>
            </w:rPr>
            <w:fldChar w:fldCharType="separate"/>
          </w:r>
          <w:r>
            <w:rPr>
              <w:sz w:val="28"/>
              <w:szCs w:val="28"/>
            </w:rPr>
            <w:t>10</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_Toc25102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spacing w:val="0"/>
              <w:w w:val="100"/>
              <w:kern w:val="44"/>
              <w:position w:val="0"/>
              <w:sz w:val="28"/>
              <w:szCs w:val="32"/>
              <w:shd w:val="clear" w:color="auto" w:fill="auto"/>
              <w:lang w:val="en-US" w:eastAsia="en-US" w:bidi="en-US"/>
            </w:rPr>
            <w:t>供应商须知前附表</w:t>
          </w:r>
          <w:r>
            <w:rPr>
              <w:sz w:val="28"/>
              <w:szCs w:val="28"/>
            </w:rPr>
            <w:tab/>
          </w:r>
          <w:r>
            <w:rPr>
              <w:sz w:val="28"/>
              <w:szCs w:val="28"/>
            </w:rPr>
            <w:fldChar w:fldCharType="begin"/>
          </w:r>
          <w:r>
            <w:rPr>
              <w:sz w:val="28"/>
              <w:szCs w:val="28"/>
            </w:rPr>
            <w:instrText xml:space="preserve"> PAGEREF _Toc25102 \h </w:instrText>
          </w:r>
          <w:r>
            <w:rPr>
              <w:sz w:val="28"/>
              <w:szCs w:val="28"/>
            </w:rPr>
            <w:fldChar w:fldCharType="separate"/>
          </w:r>
          <w:r>
            <w:rPr>
              <w:sz w:val="28"/>
              <w:szCs w:val="28"/>
            </w:rPr>
            <w:t>11</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_Toc25079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1</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总则</w:t>
          </w:r>
          <w:r>
            <w:rPr>
              <w:sz w:val="28"/>
              <w:szCs w:val="28"/>
            </w:rPr>
            <w:tab/>
          </w:r>
          <w:r>
            <w:rPr>
              <w:sz w:val="28"/>
              <w:szCs w:val="28"/>
            </w:rPr>
            <w:fldChar w:fldCharType="begin"/>
          </w:r>
          <w:r>
            <w:rPr>
              <w:sz w:val="28"/>
              <w:szCs w:val="28"/>
            </w:rPr>
            <w:instrText xml:space="preserve"> PAGEREF _Toc25079 \h </w:instrText>
          </w:r>
          <w:r>
            <w:rPr>
              <w:sz w:val="28"/>
              <w:szCs w:val="28"/>
            </w:rPr>
            <w:fldChar w:fldCharType="separate"/>
          </w:r>
          <w:r>
            <w:rPr>
              <w:sz w:val="28"/>
              <w:szCs w:val="28"/>
            </w:rPr>
            <w:t>16</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_Toc3519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2</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采购文件</w:t>
          </w:r>
          <w:r>
            <w:rPr>
              <w:sz w:val="28"/>
              <w:szCs w:val="28"/>
            </w:rPr>
            <w:tab/>
          </w:r>
          <w:r>
            <w:rPr>
              <w:sz w:val="28"/>
              <w:szCs w:val="28"/>
            </w:rPr>
            <w:fldChar w:fldCharType="begin"/>
          </w:r>
          <w:r>
            <w:rPr>
              <w:sz w:val="28"/>
              <w:szCs w:val="28"/>
            </w:rPr>
            <w:instrText xml:space="preserve"> PAGEREF _Toc3519 \h </w:instrText>
          </w:r>
          <w:r>
            <w:rPr>
              <w:sz w:val="28"/>
              <w:szCs w:val="28"/>
            </w:rPr>
            <w:fldChar w:fldCharType="separate"/>
          </w:r>
          <w:r>
            <w:rPr>
              <w:sz w:val="28"/>
              <w:szCs w:val="28"/>
            </w:rPr>
            <w:t>16</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_Toc20218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3</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响应文件</w:t>
          </w:r>
          <w:r>
            <w:rPr>
              <w:sz w:val="28"/>
              <w:szCs w:val="28"/>
            </w:rPr>
            <w:tab/>
          </w:r>
          <w:r>
            <w:rPr>
              <w:sz w:val="28"/>
              <w:szCs w:val="28"/>
            </w:rPr>
            <w:fldChar w:fldCharType="begin"/>
          </w:r>
          <w:r>
            <w:rPr>
              <w:sz w:val="28"/>
              <w:szCs w:val="28"/>
            </w:rPr>
            <w:instrText xml:space="preserve"> PAGEREF _Toc20218 \h </w:instrText>
          </w:r>
          <w:r>
            <w:rPr>
              <w:sz w:val="28"/>
              <w:szCs w:val="28"/>
            </w:rPr>
            <w:fldChar w:fldCharType="separate"/>
          </w:r>
          <w:r>
            <w:rPr>
              <w:sz w:val="28"/>
              <w:szCs w:val="28"/>
            </w:rPr>
            <w:t>17</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_Toc13426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4</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响应文件的递交</w:t>
          </w:r>
          <w:r>
            <w:rPr>
              <w:sz w:val="28"/>
              <w:szCs w:val="28"/>
            </w:rPr>
            <w:tab/>
          </w:r>
          <w:r>
            <w:rPr>
              <w:sz w:val="28"/>
              <w:szCs w:val="28"/>
            </w:rPr>
            <w:fldChar w:fldCharType="begin"/>
          </w:r>
          <w:r>
            <w:rPr>
              <w:sz w:val="28"/>
              <w:szCs w:val="28"/>
            </w:rPr>
            <w:instrText xml:space="preserve"> PAGEREF _Toc13426 \h </w:instrText>
          </w:r>
          <w:r>
            <w:rPr>
              <w:sz w:val="28"/>
              <w:szCs w:val="28"/>
            </w:rPr>
            <w:fldChar w:fldCharType="separate"/>
          </w:r>
          <w:r>
            <w:rPr>
              <w:sz w:val="28"/>
              <w:szCs w:val="28"/>
            </w:rPr>
            <w:t>19</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_Toc11146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5</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开启响应文件</w:t>
          </w:r>
          <w:r>
            <w:rPr>
              <w:sz w:val="28"/>
              <w:szCs w:val="28"/>
            </w:rPr>
            <w:tab/>
          </w:r>
          <w:r>
            <w:rPr>
              <w:sz w:val="28"/>
              <w:szCs w:val="28"/>
            </w:rPr>
            <w:fldChar w:fldCharType="begin"/>
          </w:r>
          <w:r>
            <w:rPr>
              <w:sz w:val="28"/>
              <w:szCs w:val="28"/>
            </w:rPr>
            <w:instrText xml:space="preserve"> PAGEREF _Toc11146 \h </w:instrText>
          </w:r>
          <w:r>
            <w:rPr>
              <w:sz w:val="28"/>
              <w:szCs w:val="28"/>
            </w:rPr>
            <w:fldChar w:fldCharType="separate"/>
          </w:r>
          <w:r>
            <w:rPr>
              <w:sz w:val="28"/>
              <w:szCs w:val="28"/>
            </w:rPr>
            <w:t>19</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_Toc26855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6</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评审</w:t>
          </w:r>
          <w:r>
            <w:rPr>
              <w:sz w:val="28"/>
              <w:szCs w:val="28"/>
            </w:rPr>
            <w:tab/>
          </w:r>
          <w:r>
            <w:rPr>
              <w:sz w:val="28"/>
              <w:szCs w:val="28"/>
            </w:rPr>
            <w:fldChar w:fldCharType="begin"/>
          </w:r>
          <w:r>
            <w:rPr>
              <w:sz w:val="28"/>
              <w:szCs w:val="28"/>
            </w:rPr>
            <w:instrText xml:space="preserve"> PAGEREF _Toc26855 \h </w:instrText>
          </w:r>
          <w:r>
            <w:rPr>
              <w:sz w:val="28"/>
              <w:szCs w:val="28"/>
            </w:rPr>
            <w:fldChar w:fldCharType="separate"/>
          </w:r>
          <w:r>
            <w:rPr>
              <w:sz w:val="28"/>
              <w:szCs w:val="28"/>
            </w:rPr>
            <w:t>20</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_Toc19253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7</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合同授予</w:t>
          </w:r>
          <w:r>
            <w:rPr>
              <w:sz w:val="28"/>
              <w:szCs w:val="28"/>
            </w:rPr>
            <w:tab/>
          </w:r>
          <w:r>
            <w:rPr>
              <w:sz w:val="28"/>
              <w:szCs w:val="28"/>
            </w:rPr>
            <w:fldChar w:fldCharType="begin"/>
          </w:r>
          <w:r>
            <w:rPr>
              <w:sz w:val="28"/>
              <w:szCs w:val="28"/>
            </w:rPr>
            <w:instrText xml:space="preserve"> PAGEREF _Toc19253 \h </w:instrText>
          </w:r>
          <w:r>
            <w:rPr>
              <w:sz w:val="28"/>
              <w:szCs w:val="28"/>
            </w:rPr>
            <w:fldChar w:fldCharType="separate"/>
          </w:r>
          <w:r>
            <w:rPr>
              <w:sz w:val="28"/>
              <w:szCs w:val="28"/>
            </w:rPr>
            <w:t>20</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_Toc20674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8</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异议</w:t>
          </w:r>
          <w:r>
            <w:rPr>
              <w:sz w:val="28"/>
              <w:szCs w:val="28"/>
            </w:rPr>
            <w:tab/>
          </w:r>
          <w:r>
            <w:rPr>
              <w:sz w:val="28"/>
              <w:szCs w:val="28"/>
            </w:rPr>
            <w:fldChar w:fldCharType="begin"/>
          </w:r>
          <w:r>
            <w:rPr>
              <w:sz w:val="28"/>
              <w:szCs w:val="28"/>
            </w:rPr>
            <w:instrText xml:space="preserve"> PAGEREF _Toc20674 \h </w:instrText>
          </w:r>
          <w:r>
            <w:rPr>
              <w:sz w:val="28"/>
              <w:szCs w:val="28"/>
            </w:rPr>
            <w:fldChar w:fldCharType="separate"/>
          </w:r>
          <w:r>
            <w:rPr>
              <w:sz w:val="28"/>
              <w:szCs w:val="28"/>
            </w:rPr>
            <w:t>21</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_Toc10021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9</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纪律要求</w:t>
          </w:r>
          <w:r>
            <w:rPr>
              <w:sz w:val="28"/>
              <w:szCs w:val="28"/>
            </w:rPr>
            <w:tab/>
          </w:r>
          <w:r>
            <w:rPr>
              <w:sz w:val="28"/>
              <w:szCs w:val="28"/>
            </w:rPr>
            <w:fldChar w:fldCharType="begin"/>
          </w:r>
          <w:r>
            <w:rPr>
              <w:sz w:val="28"/>
              <w:szCs w:val="28"/>
            </w:rPr>
            <w:instrText xml:space="preserve"> PAGEREF _Toc10021 \h </w:instrText>
          </w:r>
          <w:r>
            <w:rPr>
              <w:sz w:val="28"/>
              <w:szCs w:val="28"/>
            </w:rPr>
            <w:fldChar w:fldCharType="separate"/>
          </w:r>
          <w:r>
            <w:rPr>
              <w:sz w:val="28"/>
              <w:szCs w:val="28"/>
            </w:rPr>
            <w:t>22</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_Toc6663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10</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需要补充的其他内容</w:t>
          </w:r>
          <w:r>
            <w:rPr>
              <w:sz w:val="28"/>
              <w:szCs w:val="28"/>
            </w:rPr>
            <w:tab/>
          </w:r>
          <w:r>
            <w:rPr>
              <w:sz w:val="28"/>
              <w:szCs w:val="28"/>
            </w:rPr>
            <w:fldChar w:fldCharType="begin"/>
          </w:r>
          <w:r>
            <w:rPr>
              <w:sz w:val="28"/>
              <w:szCs w:val="28"/>
            </w:rPr>
            <w:instrText xml:space="preserve"> PAGEREF _Toc6663 \h </w:instrText>
          </w:r>
          <w:r>
            <w:rPr>
              <w:sz w:val="28"/>
              <w:szCs w:val="28"/>
            </w:rPr>
            <w:fldChar w:fldCharType="separate"/>
          </w:r>
          <w:r>
            <w:rPr>
              <w:sz w:val="28"/>
              <w:szCs w:val="28"/>
            </w:rPr>
            <w:t>22</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_Toc5769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sz w:val="28"/>
              <w:szCs w:val="32"/>
            </w:rPr>
            <w:t>确认通知</w:t>
          </w:r>
          <w:r>
            <w:rPr>
              <w:sz w:val="28"/>
              <w:szCs w:val="28"/>
            </w:rPr>
            <w:tab/>
          </w:r>
          <w:r>
            <w:rPr>
              <w:sz w:val="28"/>
              <w:szCs w:val="28"/>
            </w:rPr>
            <w:fldChar w:fldCharType="begin"/>
          </w:r>
          <w:r>
            <w:rPr>
              <w:sz w:val="28"/>
              <w:szCs w:val="28"/>
            </w:rPr>
            <w:instrText xml:space="preserve"> PAGEREF _Toc5769 \h </w:instrText>
          </w:r>
          <w:r>
            <w:rPr>
              <w:sz w:val="28"/>
              <w:szCs w:val="28"/>
            </w:rPr>
            <w:fldChar w:fldCharType="separate"/>
          </w:r>
          <w:r>
            <w:rPr>
              <w:sz w:val="28"/>
              <w:szCs w:val="28"/>
            </w:rPr>
            <w:t>27</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5"/>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_Toc13674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56"/>
              <w:lang w:val="en-US" w:eastAsia="zh-CN"/>
            </w:rPr>
            <w:t>第三章   评审办法</w:t>
          </w:r>
          <w:r>
            <w:rPr>
              <w:sz w:val="28"/>
              <w:szCs w:val="28"/>
            </w:rPr>
            <w:tab/>
          </w:r>
          <w:r>
            <w:rPr>
              <w:sz w:val="28"/>
              <w:szCs w:val="28"/>
            </w:rPr>
            <w:fldChar w:fldCharType="begin"/>
          </w:r>
          <w:r>
            <w:rPr>
              <w:sz w:val="28"/>
              <w:szCs w:val="28"/>
            </w:rPr>
            <w:instrText xml:space="preserve"> PAGEREF _Toc13674 \h </w:instrText>
          </w:r>
          <w:r>
            <w:rPr>
              <w:sz w:val="28"/>
              <w:szCs w:val="28"/>
            </w:rPr>
            <w:fldChar w:fldCharType="separate"/>
          </w:r>
          <w:r>
            <w:rPr>
              <w:sz w:val="28"/>
              <w:szCs w:val="28"/>
            </w:rPr>
            <w:t>28</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_Toc31158 </w:instrText>
          </w:r>
          <w:r>
            <w:rPr>
              <w:rFonts w:hint="eastAsia" w:eastAsia="宋体" w:cs="宋体"/>
              <w:spacing w:val="0"/>
              <w:w w:val="100"/>
              <w:position w:val="0"/>
              <w:sz w:val="28"/>
              <w:szCs w:val="56"/>
              <w:lang w:val="en-US" w:eastAsia="zh-CN"/>
            </w:rPr>
            <w:fldChar w:fldCharType="separate"/>
          </w:r>
          <w:r>
            <w:rPr>
              <w:rFonts w:hint="eastAsia"/>
              <w:sz w:val="28"/>
              <w:szCs w:val="32"/>
            </w:rPr>
            <w:t>评审办法前附表</w:t>
          </w:r>
          <w:r>
            <w:rPr>
              <w:sz w:val="28"/>
              <w:szCs w:val="28"/>
            </w:rPr>
            <w:tab/>
          </w:r>
          <w:r>
            <w:rPr>
              <w:sz w:val="28"/>
              <w:szCs w:val="28"/>
            </w:rPr>
            <w:fldChar w:fldCharType="begin"/>
          </w:r>
          <w:r>
            <w:rPr>
              <w:sz w:val="28"/>
              <w:szCs w:val="28"/>
            </w:rPr>
            <w:instrText xml:space="preserve"> PAGEREF _Toc31158 \h </w:instrText>
          </w:r>
          <w:r>
            <w:rPr>
              <w:sz w:val="28"/>
              <w:szCs w:val="28"/>
            </w:rPr>
            <w:fldChar w:fldCharType="separate"/>
          </w:r>
          <w:r>
            <w:rPr>
              <w:sz w:val="28"/>
              <w:szCs w:val="28"/>
            </w:rPr>
            <w:t>29</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_Toc7222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1</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评审方法（最低价法）</w:t>
          </w:r>
          <w:r>
            <w:rPr>
              <w:sz w:val="28"/>
              <w:szCs w:val="28"/>
            </w:rPr>
            <w:tab/>
          </w:r>
          <w:r>
            <w:rPr>
              <w:sz w:val="28"/>
              <w:szCs w:val="28"/>
            </w:rPr>
            <w:fldChar w:fldCharType="begin"/>
          </w:r>
          <w:r>
            <w:rPr>
              <w:sz w:val="28"/>
              <w:szCs w:val="28"/>
            </w:rPr>
            <w:instrText xml:space="preserve"> PAGEREF _Toc7222 \h </w:instrText>
          </w:r>
          <w:r>
            <w:rPr>
              <w:sz w:val="28"/>
              <w:szCs w:val="28"/>
            </w:rPr>
            <w:fldChar w:fldCharType="separate"/>
          </w:r>
          <w:r>
            <w:rPr>
              <w:sz w:val="28"/>
              <w:szCs w:val="28"/>
            </w:rPr>
            <w:t>30</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_Toc12284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2</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初步评审标准和程序</w:t>
          </w:r>
          <w:r>
            <w:rPr>
              <w:sz w:val="28"/>
              <w:szCs w:val="28"/>
            </w:rPr>
            <w:tab/>
          </w:r>
          <w:r>
            <w:rPr>
              <w:sz w:val="28"/>
              <w:szCs w:val="28"/>
            </w:rPr>
            <w:fldChar w:fldCharType="begin"/>
          </w:r>
          <w:r>
            <w:rPr>
              <w:sz w:val="28"/>
              <w:szCs w:val="28"/>
            </w:rPr>
            <w:instrText xml:space="preserve"> PAGEREF _Toc12284 \h </w:instrText>
          </w:r>
          <w:r>
            <w:rPr>
              <w:sz w:val="28"/>
              <w:szCs w:val="28"/>
            </w:rPr>
            <w:fldChar w:fldCharType="separate"/>
          </w:r>
          <w:r>
            <w:rPr>
              <w:sz w:val="28"/>
              <w:szCs w:val="28"/>
            </w:rPr>
            <w:t>30</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_Toc29328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3</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详细评审标准和程序</w:t>
          </w:r>
          <w:r>
            <w:rPr>
              <w:rFonts w:hint="eastAsia" w:ascii="宋体" w:hAnsi="宋体" w:eastAsia="宋体" w:cs="宋体"/>
              <w:sz w:val="28"/>
              <w:szCs w:val="32"/>
              <w:lang w:eastAsia="zh-CN"/>
            </w:rPr>
            <w:t>（最低价法）</w:t>
          </w:r>
          <w:r>
            <w:rPr>
              <w:sz w:val="28"/>
              <w:szCs w:val="28"/>
            </w:rPr>
            <w:tab/>
          </w:r>
          <w:r>
            <w:rPr>
              <w:sz w:val="28"/>
              <w:szCs w:val="28"/>
            </w:rPr>
            <w:fldChar w:fldCharType="begin"/>
          </w:r>
          <w:r>
            <w:rPr>
              <w:sz w:val="28"/>
              <w:szCs w:val="28"/>
            </w:rPr>
            <w:instrText xml:space="preserve"> PAGEREF _Toc29328 \h </w:instrText>
          </w:r>
          <w:r>
            <w:rPr>
              <w:sz w:val="28"/>
              <w:szCs w:val="28"/>
            </w:rPr>
            <w:fldChar w:fldCharType="separate"/>
          </w:r>
          <w:r>
            <w:rPr>
              <w:sz w:val="28"/>
              <w:szCs w:val="28"/>
            </w:rPr>
            <w:t>30</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_Toc5125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4</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评审结果</w:t>
          </w:r>
          <w:r>
            <w:rPr>
              <w:sz w:val="28"/>
              <w:szCs w:val="28"/>
            </w:rPr>
            <w:tab/>
          </w:r>
          <w:r>
            <w:rPr>
              <w:sz w:val="28"/>
              <w:szCs w:val="28"/>
            </w:rPr>
            <w:fldChar w:fldCharType="begin"/>
          </w:r>
          <w:r>
            <w:rPr>
              <w:sz w:val="28"/>
              <w:szCs w:val="28"/>
            </w:rPr>
            <w:instrText xml:space="preserve"> PAGEREF _Toc5125 \h </w:instrText>
          </w:r>
          <w:r>
            <w:rPr>
              <w:sz w:val="28"/>
              <w:szCs w:val="28"/>
            </w:rPr>
            <w:fldChar w:fldCharType="separate"/>
          </w:r>
          <w:r>
            <w:rPr>
              <w:sz w:val="28"/>
              <w:szCs w:val="28"/>
            </w:rPr>
            <w:t>31</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_Toc29447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5</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直接转换采购方式评审程序</w:t>
          </w:r>
          <w:r>
            <w:rPr>
              <w:sz w:val="28"/>
              <w:szCs w:val="28"/>
            </w:rPr>
            <w:tab/>
          </w:r>
          <w:r>
            <w:rPr>
              <w:sz w:val="28"/>
              <w:szCs w:val="28"/>
            </w:rPr>
            <w:fldChar w:fldCharType="begin"/>
          </w:r>
          <w:r>
            <w:rPr>
              <w:sz w:val="28"/>
              <w:szCs w:val="28"/>
            </w:rPr>
            <w:instrText xml:space="preserve"> PAGEREF _Toc29447 \h </w:instrText>
          </w:r>
          <w:r>
            <w:rPr>
              <w:sz w:val="28"/>
              <w:szCs w:val="28"/>
            </w:rPr>
            <w:fldChar w:fldCharType="separate"/>
          </w:r>
          <w:r>
            <w:rPr>
              <w:sz w:val="28"/>
              <w:szCs w:val="28"/>
            </w:rPr>
            <w:t>31</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5"/>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_Toc26007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56"/>
              <w:lang w:val="en-US" w:eastAsia="zh-CN"/>
            </w:rPr>
            <w:t>第四章   合同条款及格式</w:t>
          </w:r>
          <w:r>
            <w:rPr>
              <w:sz w:val="28"/>
              <w:szCs w:val="28"/>
            </w:rPr>
            <w:tab/>
          </w:r>
          <w:r>
            <w:rPr>
              <w:sz w:val="28"/>
              <w:szCs w:val="28"/>
            </w:rPr>
            <w:fldChar w:fldCharType="begin"/>
          </w:r>
          <w:r>
            <w:rPr>
              <w:sz w:val="28"/>
              <w:szCs w:val="28"/>
            </w:rPr>
            <w:instrText xml:space="preserve"> PAGEREF _Toc26007 \h </w:instrText>
          </w:r>
          <w:r>
            <w:rPr>
              <w:sz w:val="28"/>
              <w:szCs w:val="28"/>
            </w:rPr>
            <w:fldChar w:fldCharType="separate"/>
          </w:r>
          <w:r>
            <w:rPr>
              <w:sz w:val="28"/>
              <w:szCs w:val="28"/>
            </w:rPr>
            <w:t>33</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5"/>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_Toc19185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56"/>
              <w:lang w:val="en-US" w:eastAsia="zh-CN"/>
            </w:rPr>
            <w:t>第五章   采购需求</w:t>
          </w:r>
          <w:r>
            <w:rPr>
              <w:sz w:val="28"/>
              <w:szCs w:val="28"/>
            </w:rPr>
            <w:tab/>
          </w:r>
          <w:r>
            <w:rPr>
              <w:sz w:val="28"/>
              <w:szCs w:val="28"/>
            </w:rPr>
            <w:fldChar w:fldCharType="begin"/>
          </w:r>
          <w:r>
            <w:rPr>
              <w:sz w:val="28"/>
              <w:szCs w:val="28"/>
            </w:rPr>
            <w:instrText xml:space="preserve"> PAGEREF _Toc19185 \h </w:instrText>
          </w:r>
          <w:r>
            <w:rPr>
              <w:sz w:val="28"/>
              <w:szCs w:val="28"/>
            </w:rPr>
            <w:fldChar w:fldCharType="separate"/>
          </w:r>
          <w:r>
            <w:rPr>
              <w:sz w:val="28"/>
              <w:szCs w:val="28"/>
            </w:rPr>
            <w:t>47</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5"/>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_Toc31079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56"/>
              <w:lang w:val="en-US" w:eastAsia="zh-CN"/>
            </w:rPr>
            <w:t>第六章 响应文件格式</w:t>
          </w:r>
          <w:r>
            <w:rPr>
              <w:sz w:val="28"/>
              <w:szCs w:val="28"/>
            </w:rPr>
            <w:tab/>
          </w:r>
          <w:r>
            <w:rPr>
              <w:sz w:val="28"/>
              <w:szCs w:val="28"/>
            </w:rPr>
            <w:fldChar w:fldCharType="begin"/>
          </w:r>
          <w:r>
            <w:rPr>
              <w:sz w:val="28"/>
              <w:szCs w:val="28"/>
            </w:rPr>
            <w:instrText xml:space="preserve"> PAGEREF _Toc31079 \h </w:instrText>
          </w:r>
          <w:r>
            <w:rPr>
              <w:sz w:val="28"/>
              <w:szCs w:val="28"/>
            </w:rPr>
            <w:fldChar w:fldCharType="separate"/>
          </w:r>
          <w:r>
            <w:rPr>
              <w:sz w:val="28"/>
              <w:szCs w:val="28"/>
            </w:rPr>
            <w:t>50</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_Toc18102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一、 响应函</w:t>
          </w:r>
          <w:r>
            <w:rPr>
              <w:sz w:val="28"/>
              <w:szCs w:val="28"/>
            </w:rPr>
            <w:tab/>
          </w:r>
          <w:r>
            <w:rPr>
              <w:sz w:val="28"/>
              <w:szCs w:val="28"/>
            </w:rPr>
            <w:fldChar w:fldCharType="begin"/>
          </w:r>
          <w:r>
            <w:rPr>
              <w:sz w:val="28"/>
              <w:szCs w:val="28"/>
            </w:rPr>
            <w:instrText xml:space="preserve"> PAGEREF _Toc18102 \h </w:instrText>
          </w:r>
          <w:r>
            <w:rPr>
              <w:sz w:val="28"/>
              <w:szCs w:val="28"/>
            </w:rPr>
            <w:fldChar w:fldCharType="separate"/>
          </w:r>
          <w:r>
            <w:rPr>
              <w:sz w:val="28"/>
              <w:szCs w:val="28"/>
            </w:rPr>
            <w:t>52</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_Toc10499 </w:instrText>
          </w:r>
          <w:r>
            <w:rPr>
              <w:rFonts w:hint="eastAsia" w:eastAsia="宋体" w:cs="宋体"/>
              <w:spacing w:val="0"/>
              <w:w w:val="100"/>
              <w:position w:val="0"/>
              <w:sz w:val="28"/>
              <w:szCs w:val="56"/>
              <w:lang w:val="en-US" w:eastAsia="zh-CN"/>
            </w:rPr>
            <w:fldChar w:fldCharType="separate"/>
          </w:r>
          <w:r>
            <w:rPr>
              <w:rFonts w:hint="eastAsia"/>
              <w:bCs w:val="0"/>
              <w:sz w:val="28"/>
              <w:szCs w:val="28"/>
            </w:rPr>
            <w:t xml:space="preserve">二、 </w:t>
          </w:r>
          <w:r>
            <w:rPr>
              <w:rFonts w:hint="eastAsia" w:ascii="宋体" w:hAnsi="宋体" w:eastAsia="宋体" w:cs="宋体"/>
              <w:bCs w:val="0"/>
              <w:sz w:val="28"/>
              <w:szCs w:val="32"/>
              <w:lang w:val="en-US" w:eastAsia="zh-CN"/>
            </w:rPr>
            <w:t>授权委托书</w:t>
          </w:r>
          <w:r>
            <w:rPr>
              <w:sz w:val="28"/>
              <w:szCs w:val="28"/>
            </w:rPr>
            <w:tab/>
          </w:r>
          <w:r>
            <w:rPr>
              <w:sz w:val="28"/>
              <w:szCs w:val="28"/>
            </w:rPr>
            <w:fldChar w:fldCharType="begin"/>
          </w:r>
          <w:r>
            <w:rPr>
              <w:sz w:val="28"/>
              <w:szCs w:val="28"/>
            </w:rPr>
            <w:instrText xml:space="preserve"> PAGEREF _Toc10499 \h </w:instrText>
          </w:r>
          <w:r>
            <w:rPr>
              <w:sz w:val="28"/>
              <w:szCs w:val="28"/>
            </w:rPr>
            <w:fldChar w:fldCharType="separate"/>
          </w:r>
          <w:r>
            <w:rPr>
              <w:sz w:val="28"/>
              <w:szCs w:val="28"/>
            </w:rPr>
            <w:t>53</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_Toc27014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三、联合体协议书</w:t>
          </w:r>
          <w:r>
            <w:rPr>
              <w:sz w:val="28"/>
              <w:szCs w:val="28"/>
            </w:rPr>
            <w:tab/>
          </w:r>
          <w:r>
            <w:rPr>
              <w:sz w:val="28"/>
              <w:szCs w:val="28"/>
            </w:rPr>
            <w:fldChar w:fldCharType="begin"/>
          </w:r>
          <w:r>
            <w:rPr>
              <w:sz w:val="28"/>
              <w:szCs w:val="28"/>
            </w:rPr>
            <w:instrText xml:space="preserve"> PAGEREF _Toc27014 \h </w:instrText>
          </w:r>
          <w:r>
            <w:rPr>
              <w:sz w:val="28"/>
              <w:szCs w:val="28"/>
            </w:rPr>
            <w:fldChar w:fldCharType="separate"/>
          </w:r>
          <w:r>
            <w:rPr>
              <w:sz w:val="28"/>
              <w:szCs w:val="28"/>
            </w:rPr>
            <w:t>54</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_Toc30455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四、响应保证金</w:t>
          </w:r>
          <w:r>
            <w:rPr>
              <w:sz w:val="28"/>
              <w:szCs w:val="28"/>
            </w:rPr>
            <w:tab/>
          </w:r>
          <w:r>
            <w:rPr>
              <w:sz w:val="28"/>
              <w:szCs w:val="28"/>
            </w:rPr>
            <w:fldChar w:fldCharType="begin"/>
          </w:r>
          <w:r>
            <w:rPr>
              <w:sz w:val="28"/>
              <w:szCs w:val="28"/>
            </w:rPr>
            <w:instrText xml:space="preserve"> PAGEREF _Toc30455 \h </w:instrText>
          </w:r>
          <w:r>
            <w:rPr>
              <w:sz w:val="28"/>
              <w:szCs w:val="28"/>
            </w:rPr>
            <w:fldChar w:fldCharType="separate"/>
          </w:r>
          <w:r>
            <w:rPr>
              <w:sz w:val="28"/>
              <w:szCs w:val="28"/>
            </w:rPr>
            <w:t>55</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_Toc807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五、商务和技术偏差表</w:t>
          </w:r>
          <w:r>
            <w:rPr>
              <w:sz w:val="28"/>
              <w:szCs w:val="28"/>
            </w:rPr>
            <w:tab/>
          </w:r>
          <w:r>
            <w:rPr>
              <w:sz w:val="28"/>
              <w:szCs w:val="28"/>
            </w:rPr>
            <w:fldChar w:fldCharType="begin"/>
          </w:r>
          <w:r>
            <w:rPr>
              <w:sz w:val="28"/>
              <w:szCs w:val="28"/>
            </w:rPr>
            <w:instrText xml:space="preserve"> PAGEREF _Toc807 \h </w:instrText>
          </w:r>
          <w:r>
            <w:rPr>
              <w:sz w:val="28"/>
              <w:szCs w:val="28"/>
            </w:rPr>
            <w:fldChar w:fldCharType="separate"/>
          </w:r>
          <w:r>
            <w:rPr>
              <w:sz w:val="28"/>
              <w:szCs w:val="28"/>
            </w:rPr>
            <w:t>56</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_Toc7358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bCs w:val="0"/>
              <w:sz w:val="28"/>
              <w:szCs w:val="32"/>
            </w:rPr>
            <w:t>六、报价表</w:t>
          </w:r>
          <w:r>
            <w:rPr>
              <w:sz w:val="28"/>
              <w:szCs w:val="28"/>
            </w:rPr>
            <w:tab/>
          </w:r>
          <w:r>
            <w:rPr>
              <w:sz w:val="28"/>
              <w:szCs w:val="28"/>
            </w:rPr>
            <w:fldChar w:fldCharType="begin"/>
          </w:r>
          <w:r>
            <w:rPr>
              <w:sz w:val="28"/>
              <w:szCs w:val="28"/>
            </w:rPr>
            <w:instrText xml:space="preserve"> PAGEREF _Toc7358 \h </w:instrText>
          </w:r>
          <w:r>
            <w:rPr>
              <w:sz w:val="28"/>
              <w:szCs w:val="28"/>
            </w:rPr>
            <w:fldChar w:fldCharType="separate"/>
          </w:r>
          <w:r>
            <w:rPr>
              <w:sz w:val="28"/>
              <w:szCs w:val="28"/>
            </w:rPr>
            <w:t>57</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_Toc17015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七、资格审查资料</w:t>
          </w:r>
          <w:r>
            <w:rPr>
              <w:sz w:val="28"/>
              <w:szCs w:val="28"/>
            </w:rPr>
            <w:tab/>
          </w:r>
          <w:r>
            <w:rPr>
              <w:sz w:val="28"/>
              <w:szCs w:val="28"/>
            </w:rPr>
            <w:fldChar w:fldCharType="begin"/>
          </w:r>
          <w:r>
            <w:rPr>
              <w:sz w:val="28"/>
              <w:szCs w:val="28"/>
            </w:rPr>
            <w:instrText xml:space="preserve"> PAGEREF _Toc17015 \h </w:instrText>
          </w:r>
          <w:r>
            <w:rPr>
              <w:sz w:val="28"/>
              <w:szCs w:val="28"/>
            </w:rPr>
            <w:fldChar w:fldCharType="separate"/>
          </w:r>
          <w:r>
            <w:rPr>
              <w:sz w:val="28"/>
              <w:szCs w:val="28"/>
            </w:rPr>
            <w:t>58</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_Toc17562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lang w:eastAsia="zh-CN"/>
            </w:rPr>
            <w:t>八、</w:t>
          </w:r>
          <w:r>
            <w:rPr>
              <w:rFonts w:hint="eastAsia" w:ascii="宋体" w:hAnsi="宋体" w:eastAsia="宋体" w:cs="宋体"/>
              <w:sz w:val="28"/>
              <w:szCs w:val="32"/>
              <w:lang w:val="en-US" w:eastAsia="zh-CN"/>
            </w:rPr>
            <w:t>响应</w:t>
          </w:r>
          <w:r>
            <w:rPr>
              <w:rFonts w:hint="eastAsia" w:ascii="宋体" w:hAnsi="宋体" w:eastAsia="宋体" w:cs="宋体"/>
              <w:sz w:val="28"/>
              <w:szCs w:val="32"/>
              <w:lang w:eastAsia="zh-CN"/>
            </w:rPr>
            <w:t>方案</w:t>
          </w:r>
          <w:r>
            <w:rPr>
              <w:sz w:val="28"/>
              <w:szCs w:val="28"/>
            </w:rPr>
            <w:tab/>
          </w:r>
          <w:r>
            <w:rPr>
              <w:sz w:val="28"/>
              <w:szCs w:val="28"/>
            </w:rPr>
            <w:fldChar w:fldCharType="begin"/>
          </w:r>
          <w:r>
            <w:rPr>
              <w:sz w:val="28"/>
              <w:szCs w:val="28"/>
            </w:rPr>
            <w:instrText xml:space="preserve"> PAGEREF _Toc17562 \h </w:instrText>
          </w:r>
          <w:r>
            <w:rPr>
              <w:sz w:val="28"/>
              <w:szCs w:val="28"/>
            </w:rPr>
            <w:fldChar w:fldCharType="separate"/>
          </w:r>
          <w:r>
            <w:rPr>
              <w:sz w:val="28"/>
              <w:szCs w:val="28"/>
            </w:rPr>
            <w:t>61</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16"/>
            <w:tabs>
              <w:tab w:val="right" w:leader="dot" w:pos="8306"/>
            </w:tabs>
            <w:rPr>
              <w:sz w:val="28"/>
              <w:szCs w:val="28"/>
            </w:rPr>
          </w:pPr>
          <w:r>
            <w:rPr>
              <w:rFonts w:hint="eastAsia" w:eastAsia="宋体" w:cs="宋体"/>
              <w:color w:val="000000"/>
              <w:spacing w:val="0"/>
              <w:w w:val="100"/>
              <w:position w:val="0"/>
              <w:sz w:val="28"/>
              <w:szCs w:val="56"/>
              <w:lang w:val="en-US" w:eastAsia="zh-CN"/>
            </w:rPr>
            <w:fldChar w:fldCharType="begin"/>
          </w:r>
          <w:r>
            <w:rPr>
              <w:rFonts w:hint="eastAsia" w:eastAsia="宋体" w:cs="宋体"/>
              <w:spacing w:val="0"/>
              <w:w w:val="100"/>
              <w:position w:val="0"/>
              <w:sz w:val="28"/>
              <w:szCs w:val="56"/>
              <w:lang w:val="en-US" w:eastAsia="zh-CN"/>
            </w:rPr>
            <w:instrText xml:space="preserve"> HYPERLINK \l _Toc28101 </w:instrText>
          </w:r>
          <w:r>
            <w:rPr>
              <w:rFonts w:hint="eastAsia" w:eastAsia="宋体" w:cs="宋体"/>
              <w:spacing w:val="0"/>
              <w:w w:val="100"/>
              <w:position w:val="0"/>
              <w:sz w:val="28"/>
              <w:szCs w:val="56"/>
              <w:lang w:val="en-US" w:eastAsia="zh-CN"/>
            </w:rPr>
            <w:fldChar w:fldCharType="separate"/>
          </w:r>
          <w:r>
            <w:rPr>
              <w:rFonts w:hint="eastAsia" w:ascii="宋体" w:hAnsi="宋体" w:eastAsia="宋体" w:cs="宋体"/>
              <w:sz w:val="28"/>
              <w:szCs w:val="32"/>
            </w:rPr>
            <w:t>九、其他资料</w:t>
          </w:r>
          <w:r>
            <w:rPr>
              <w:sz w:val="28"/>
              <w:szCs w:val="28"/>
            </w:rPr>
            <w:tab/>
          </w:r>
          <w:r>
            <w:rPr>
              <w:sz w:val="28"/>
              <w:szCs w:val="28"/>
            </w:rPr>
            <w:fldChar w:fldCharType="begin"/>
          </w:r>
          <w:r>
            <w:rPr>
              <w:sz w:val="28"/>
              <w:szCs w:val="28"/>
            </w:rPr>
            <w:instrText xml:space="preserve"> PAGEREF _Toc28101 \h </w:instrText>
          </w:r>
          <w:r>
            <w:rPr>
              <w:sz w:val="28"/>
              <w:szCs w:val="28"/>
            </w:rPr>
            <w:fldChar w:fldCharType="separate"/>
          </w:r>
          <w:r>
            <w:rPr>
              <w:sz w:val="28"/>
              <w:szCs w:val="28"/>
            </w:rPr>
            <w:t>62</w:t>
          </w:r>
          <w:r>
            <w:rPr>
              <w:sz w:val="28"/>
              <w:szCs w:val="28"/>
            </w:rPr>
            <w:fldChar w:fldCharType="end"/>
          </w:r>
          <w:r>
            <w:rPr>
              <w:rFonts w:hint="eastAsia" w:eastAsia="宋体" w:cs="宋体"/>
              <w:color w:val="000000"/>
              <w:spacing w:val="0"/>
              <w:w w:val="100"/>
              <w:position w:val="0"/>
              <w:sz w:val="28"/>
              <w:szCs w:val="56"/>
              <w:lang w:val="en-US" w:eastAsia="zh-CN"/>
            </w:rPr>
            <w:fldChar w:fldCharType="end"/>
          </w: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sectPr>
              <w:footerReference r:id="rId6" w:type="default"/>
              <w:headerReference r:id="rId5" w:type="even"/>
              <w:footerReference r:id="rId7" w:type="even"/>
              <w:footnotePr>
                <w:numFmt w:val="decimal"/>
              </w:footnotePr>
              <w:pgSz w:w="11906" w:h="16838"/>
              <w:pgMar w:top="1440" w:right="1800" w:bottom="1440" w:left="1800" w:header="0" w:footer="723" w:gutter="0"/>
              <w:pgNumType w:fmt="decimal" w:start="1"/>
              <w:cols w:space="720" w:num="1"/>
              <w:rtlGutter w:val="0"/>
              <w:docGrid w:linePitch="360" w:charSpace="0"/>
            </w:sectPr>
          </w:pPr>
          <w:r>
            <w:rPr>
              <w:rFonts w:hint="eastAsia" w:eastAsia="宋体" w:cs="宋体"/>
              <w:color w:val="000000"/>
              <w:spacing w:val="0"/>
              <w:w w:val="100"/>
              <w:position w:val="0"/>
              <w:sz w:val="24"/>
              <w:szCs w:val="56"/>
              <w:lang w:val="en-US" w:eastAsia="zh-CN"/>
            </w:rPr>
            <w:fldChar w:fldCharType="end"/>
          </w:r>
          <w:bookmarkEnd w:id="0"/>
          <w:bookmarkEnd w:id="1"/>
          <w:bookmarkEnd w:id="2"/>
          <w:bookmarkStart w:id="3" w:name="bookmark212"/>
          <w:bookmarkStart w:id="4" w:name="bookmark210"/>
          <w:bookmarkStart w:id="5" w:name="bookmark211"/>
          <w:bookmarkStart w:id="868" w:name="_GoBack"/>
          <w:bookmarkEnd w:id="868"/>
        </w:p>
      </w:sdtContent>
    </w:sdt>
    <w:p>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
        <w:numPr>
          <w:ilvl w:val="0"/>
          <w:numId w:val="0"/>
        </w:numPr>
        <w:bidi w:val="0"/>
        <w:spacing w:before="0" w:after="0" w:line="240" w:lineRule="auto"/>
        <w:ind w:leftChars="0" w:right="0" w:rightChars="0"/>
        <w:jc w:val="center"/>
        <w:rPr>
          <w:rFonts w:hint="eastAsia" w:ascii="宋体" w:hAnsi="宋体" w:eastAsia="宋体" w:cs="宋体"/>
          <w:sz w:val="52"/>
          <w:szCs w:val="52"/>
          <w:lang w:val="en-US" w:eastAsia="zh-CN"/>
        </w:rPr>
      </w:pPr>
      <w:bookmarkStart w:id="6" w:name="_Toc30106"/>
      <w:bookmarkStart w:id="7" w:name="_Toc30826"/>
      <w:bookmarkStart w:id="8" w:name="_Toc20464"/>
      <w:r>
        <w:rPr>
          <w:rFonts w:hint="eastAsia" w:ascii="宋体" w:hAnsi="宋体" w:eastAsia="宋体" w:cs="宋体"/>
          <w:sz w:val="52"/>
          <w:szCs w:val="52"/>
          <w:lang w:val="en-US" w:eastAsia="zh-CN"/>
        </w:rPr>
        <w:t>第一章   询比采购邀请</w:t>
      </w:r>
      <w:bookmarkEnd w:id="6"/>
      <w:r>
        <w:rPr>
          <w:rFonts w:hint="eastAsia" w:ascii="宋体" w:hAnsi="宋体" w:eastAsia="宋体" w:cs="宋体"/>
          <w:sz w:val="52"/>
          <w:szCs w:val="52"/>
          <w:lang w:val="en-US" w:eastAsia="zh-CN"/>
        </w:rPr>
        <w:t>书</w:t>
      </w:r>
      <w:bookmarkEnd w:id="7"/>
      <w:bookmarkEnd w:id="8"/>
    </w:p>
    <w:p>
      <w:pP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br w:type="page"/>
      </w:r>
    </w:p>
    <w:bookmarkEnd w:id="3"/>
    <w:bookmarkEnd w:id="4"/>
    <w:bookmarkEnd w:id="5"/>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2"/>
          <w:szCs w:val="32"/>
          <w:lang w:eastAsia="zh-CN"/>
        </w:rPr>
        <w:t xml:space="preserve"> </w:t>
      </w:r>
      <w:r>
        <w:rPr>
          <w:rFonts w:hint="eastAsia" w:ascii="宋体" w:hAnsi="宋体" w:eastAsia="宋体" w:cs="宋体"/>
          <w:b/>
          <w:bCs/>
          <w:color w:val="auto"/>
          <w:sz w:val="36"/>
          <w:szCs w:val="36"/>
          <w:lang w:eastAsia="zh-CN"/>
        </w:rPr>
        <w:t xml:space="preserve"> 浦城县乡村振兴示范带建设项目（20条示范带）工程总承包项目预算编制服务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lang w:eastAsia="zh-CN"/>
        </w:rPr>
      </w:pPr>
      <w:r>
        <w:rPr>
          <w:rFonts w:hint="eastAsia" w:ascii="宋体" w:hAnsi="宋体" w:eastAsia="宋体" w:cs="宋体"/>
          <w:b/>
          <w:bCs/>
          <w:color w:val="auto"/>
          <w:sz w:val="36"/>
          <w:szCs w:val="36"/>
          <w:lang w:eastAsia="zh-CN"/>
        </w:rPr>
        <w:t>询比采购邀请书</w:t>
      </w:r>
    </w:p>
    <w:p>
      <w:pPr>
        <w:pStyle w:val="27"/>
        <w:spacing w:line="360" w:lineRule="auto"/>
        <w:ind w:firstLine="0"/>
        <w:rPr>
          <w:rFonts w:hint="default"/>
          <w:color w:val="auto"/>
          <w:sz w:val="24"/>
          <w:szCs w:val="24"/>
          <w:u w:val="single"/>
          <w:lang w:val="en-US"/>
        </w:rPr>
      </w:pPr>
      <w:r>
        <w:rPr>
          <w:rFonts w:hint="eastAsia"/>
          <w:color w:val="auto"/>
          <w:sz w:val="24"/>
          <w:szCs w:val="24"/>
          <w:u w:val="single"/>
          <w:lang w:val="en-US" w:eastAsia="zh-CN"/>
        </w:rPr>
        <w:t>致：南平闽嘉工程管理有限公司、永信恒昌工程管理有限公司、北京建友工程造价咨询有限公司</w:t>
      </w:r>
    </w:p>
    <w:p>
      <w:pPr>
        <w:pStyle w:val="27"/>
        <w:spacing w:line="360" w:lineRule="auto"/>
        <w:ind w:firstLine="480" w:firstLineChars="200"/>
        <w:rPr>
          <w:color w:val="auto"/>
          <w:sz w:val="24"/>
          <w:szCs w:val="24"/>
        </w:rPr>
      </w:pPr>
      <w:r>
        <w:rPr>
          <w:rFonts w:hint="eastAsia"/>
          <w:color w:val="auto"/>
          <w:sz w:val="24"/>
          <w:szCs w:val="24"/>
          <w:u w:val="single"/>
          <w:lang w:val="en-US" w:eastAsia="zh-CN"/>
        </w:rPr>
        <w:t xml:space="preserve"> 浦城县乡村振兴示范带建设项目（20条示范带）工程总承包项目预算编制服务 </w:t>
      </w:r>
      <w:r>
        <w:rPr>
          <w:rFonts w:hint="eastAsia"/>
          <w:color w:val="auto"/>
          <w:sz w:val="24"/>
          <w:szCs w:val="24"/>
        </w:rPr>
        <w:t>已具备采购条件，现邀请贵单位参加</w:t>
      </w:r>
      <w:r>
        <w:rPr>
          <w:rFonts w:hint="eastAsia"/>
          <w:color w:val="auto"/>
          <w:sz w:val="24"/>
          <w:szCs w:val="24"/>
          <w:lang w:eastAsia="zh-CN"/>
        </w:rPr>
        <w:t>询比</w:t>
      </w:r>
      <w:r>
        <w:rPr>
          <w:rFonts w:hint="eastAsia"/>
          <w:color w:val="auto"/>
          <w:sz w:val="24"/>
          <w:szCs w:val="24"/>
        </w:rPr>
        <w:t>釆购活动。</w:t>
      </w:r>
    </w:p>
    <w:p>
      <w:pPr>
        <w:pStyle w:val="3"/>
        <w:spacing w:before="0" w:after="0" w:line="360" w:lineRule="auto"/>
        <w:rPr>
          <w:rFonts w:ascii="宋体" w:hAnsi="宋体" w:eastAsia="宋体" w:cs="宋体"/>
          <w:bCs/>
          <w:color w:val="auto"/>
          <w:kern w:val="44"/>
          <w:sz w:val="28"/>
          <w:szCs w:val="28"/>
          <w:lang w:eastAsia="zh-CN"/>
        </w:rPr>
      </w:pPr>
      <w:bookmarkStart w:id="9" w:name="_Toc24220"/>
      <w:bookmarkStart w:id="10" w:name="_Toc11205"/>
      <w:bookmarkStart w:id="11" w:name="_Toc124"/>
      <w:r>
        <w:rPr>
          <w:rFonts w:hint="eastAsia" w:ascii="宋体" w:hAnsi="宋体" w:eastAsia="宋体" w:cs="宋体"/>
          <w:bCs/>
          <w:color w:val="auto"/>
          <w:kern w:val="44"/>
          <w:sz w:val="28"/>
          <w:szCs w:val="28"/>
          <w:lang w:eastAsia="zh-CN"/>
        </w:rPr>
        <w:t>1 采购项目简介</w:t>
      </w:r>
      <w:bookmarkEnd w:id="9"/>
      <w:bookmarkEnd w:id="10"/>
      <w:bookmarkEnd w:id="11"/>
    </w:p>
    <w:p>
      <w:pPr>
        <w:pStyle w:val="27"/>
        <w:numPr>
          <w:ilvl w:val="1"/>
          <w:numId w:val="2"/>
        </w:numPr>
        <w:tabs>
          <w:tab w:val="left" w:pos="593"/>
          <w:tab w:val="left" w:pos="9010"/>
        </w:tabs>
        <w:spacing w:line="360" w:lineRule="auto"/>
        <w:ind w:firstLine="0"/>
        <w:rPr>
          <w:rFonts w:hint="eastAsia"/>
          <w:b/>
          <w:bCs/>
          <w:color w:val="auto"/>
          <w:sz w:val="24"/>
          <w:szCs w:val="24"/>
          <w:u w:val="single"/>
          <w:lang w:val="en-US" w:eastAsia="zh-CN"/>
        </w:rPr>
      </w:pPr>
      <w:r>
        <w:rPr>
          <w:rFonts w:hint="eastAsia"/>
          <w:b w:val="0"/>
          <w:bCs w:val="0"/>
          <w:color w:val="auto"/>
          <w:sz w:val="24"/>
          <w:szCs w:val="24"/>
        </w:rPr>
        <w:t>采购项目名称：</w:t>
      </w:r>
      <w:r>
        <w:rPr>
          <w:rFonts w:hint="eastAsia"/>
          <w:b w:val="0"/>
          <w:bCs w:val="0"/>
          <w:color w:val="auto"/>
          <w:sz w:val="24"/>
          <w:szCs w:val="24"/>
          <w:u w:val="single"/>
        </w:rPr>
        <w:t xml:space="preserve"> </w:t>
      </w:r>
      <w:r>
        <w:rPr>
          <w:rFonts w:hint="eastAsia"/>
          <w:b w:val="0"/>
          <w:bCs w:val="0"/>
          <w:color w:val="auto"/>
          <w:sz w:val="24"/>
          <w:szCs w:val="24"/>
          <w:u w:val="single"/>
          <w:lang w:eastAsia="zh-CN"/>
        </w:rPr>
        <w:t>浦城县乡村振兴示范带建设项目（20条示范带）工程总承包项目预算编制服务</w:t>
      </w:r>
      <w:r>
        <w:rPr>
          <w:rFonts w:hint="eastAsia"/>
          <w:b w:val="0"/>
          <w:bCs w:val="0"/>
          <w:color w:val="auto"/>
          <w:sz w:val="24"/>
          <w:szCs w:val="24"/>
          <w:u w:val="single"/>
          <w:lang w:val="en-US" w:eastAsia="zh-CN"/>
        </w:rPr>
        <w:t xml:space="preserve">  </w:t>
      </w:r>
    </w:p>
    <w:p>
      <w:pPr>
        <w:pStyle w:val="27"/>
        <w:numPr>
          <w:ilvl w:val="0"/>
          <w:numId w:val="0"/>
        </w:numPr>
        <w:tabs>
          <w:tab w:val="left" w:pos="593"/>
          <w:tab w:val="left" w:pos="9010"/>
        </w:tabs>
        <w:spacing w:line="360" w:lineRule="auto"/>
        <w:ind w:leftChars="0"/>
        <w:rPr>
          <w:rFonts w:hint="default"/>
          <w:color w:val="auto"/>
          <w:sz w:val="24"/>
          <w:szCs w:val="24"/>
          <w:u w:val="single"/>
          <w:lang w:val="en-US" w:eastAsia="zh-CN"/>
        </w:rPr>
      </w:pPr>
      <w:r>
        <w:rPr>
          <w:rFonts w:hint="eastAsia"/>
          <w:b/>
          <w:bCs/>
          <w:color w:val="auto"/>
          <w:sz w:val="24"/>
          <w:szCs w:val="24"/>
          <w:lang w:val="en-US" w:eastAsia="zh-CN"/>
        </w:rPr>
        <w:t xml:space="preserve">1.2 </w:t>
      </w:r>
      <w:r>
        <w:rPr>
          <w:rFonts w:hint="eastAsia"/>
          <w:color w:val="auto"/>
          <w:sz w:val="24"/>
          <w:szCs w:val="24"/>
        </w:rPr>
        <w:t>采购人：</w:t>
      </w:r>
      <w:r>
        <w:rPr>
          <w:rFonts w:hint="eastAsia"/>
          <w:color w:val="auto"/>
          <w:sz w:val="24"/>
          <w:szCs w:val="24"/>
          <w:u w:val="single"/>
          <w:lang w:val="en-US" w:eastAsia="zh-CN"/>
        </w:rPr>
        <w:t xml:space="preserve">        浦城县交通工程建设开发有限公司       </w:t>
      </w:r>
    </w:p>
    <w:p>
      <w:pPr>
        <w:pStyle w:val="27"/>
        <w:tabs>
          <w:tab w:val="left" w:pos="9005"/>
        </w:tabs>
        <w:spacing w:line="360" w:lineRule="auto"/>
        <w:ind w:firstLine="0"/>
        <w:rPr>
          <w:rFonts w:hint="default"/>
          <w:color w:val="auto"/>
          <w:sz w:val="24"/>
          <w:szCs w:val="24"/>
          <w:lang w:val="en-US" w:eastAsia="zh-CN"/>
        </w:rPr>
      </w:pPr>
      <w:r>
        <w:rPr>
          <w:rFonts w:hint="eastAsia"/>
          <w:b/>
          <w:bCs/>
          <w:color w:val="auto"/>
          <w:sz w:val="24"/>
          <w:szCs w:val="24"/>
          <w:lang w:val="en-US" w:eastAsia="zh-CN" w:bidi="en-US"/>
        </w:rPr>
        <w:t xml:space="preserve">1.3 </w:t>
      </w:r>
      <w:r>
        <w:rPr>
          <w:rFonts w:hint="eastAsia"/>
          <w:color w:val="auto"/>
          <w:sz w:val="24"/>
          <w:szCs w:val="24"/>
        </w:rPr>
        <w:t>釆购代理机构：</w:t>
      </w:r>
      <w:r>
        <w:rPr>
          <w:rFonts w:hint="eastAsia"/>
          <w:color w:val="auto"/>
          <w:sz w:val="24"/>
          <w:szCs w:val="24"/>
          <w:u w:val="single"/>
        </w:rPr>
        <w:t xml:space="preserve"> </w:t>
      </w:r>
      <w:r>
        <w:rPr>
          <w:rFonts w:hint="eastAsia"/>
          <w:color w:val="auto"/>
          <w:sz w:val="24"/>
          <w:szCs w:val="24"/>
          <w:u w:val="single"/>
          <w:lang w:val="en-US" w:eastAsia="zh-CN"/>
        </w:rPr>
        <w:t xml:space="preserve"> 浦城县浦宏工程咨询有限公司       </w:t>
      </w:r>
    </w:p>
    <w:p>
      <w:pPr>
        <w:pStyle w:val="27"/>
        <w:tabs>
          <w:tab w:val="left" w:pos="7373"/>
          <w:tab w:val="left" w:leader="underscore" w:pos="9016"/>
        </w:tabs>
        <w:spacing w:line="360" w:lineRule="auto"/>
        <w:ind w:firstLine="0"/>
        <w:rPr>
          <w:color w:val="auto"/>
          <w:sz w:val="24"/>
          <w:szCs w:val="24"/>
          <w:lang w:val="en-US" w:eastAsia="zh-CN"/>
        </w:rPr>
      </w:pPr>
      <w:r>
        <w:rPr>
          <w:rFonts w:hint="eastAsia"/>
          <w:b/>
          <w:bCs/>
          <w:color w:val="auto"/>
          <w:sz w:val="24"/>
          <w:szCs w:val="24"/>
          <w:lang w:val="en-US" w:eastAsia="zh-CN" w:bidi="en-US"/>
        </w:rPr>
        <w:t xml:space="preserve">1.4 </w:t>
      </w:r>
      <w:r>
        <w:rPr>
          <w:rFonts w:hint="eastAsia"/>
          <w:color w:val="auto"/>
          <w:sz w:val="24"/>
          <w:szCs w:val="24"/>
        </w:rPr>
        <w:t>釆购项目资金落实情况：</w:t>
      </w:r>
      <w:r>
        <w:rPr>
          <w:rFonts w:hint="eastAsia"/>
          <w:color w:val="auto"/>
          <w:sz w:val="24"/>
          <w:szCs w:val="24"/>
          <w:u w:val="single"/>
        </w:rPr>
        <w:t xml:space="preserve"> </w:t>
      </w:r>
      <w:r>
        <w:rPr>
          <w:rFonts w:hint="eastAsia"/>
          <w:color w:val="auto"/>
          <w:sz w:val="24"/>
          <w:szCs w:val="24"/>
          <w:u w:val="single"/>
          <w:lang w:val="en-US" w:eastAsia="zh-CN"/>
        </w:rPr>
        <w:t xml:space="preserve">已落实                    </w:t>
      </w:r>
    </w:p>
    <w:p>
      <w:pPr>
        <w:pStyle w:val="27"/>
        <w:tabs>
          <w:tab w:val="left" w:pos="9010"/>
        </w:tabs>
        <w:spacing w:line="360" w:lineRule="auto"/>
        <w:ind w:firstLine="0"/>
        <w:rPr>
          <w:rFonts w:hint="eastAsia"/>
          <w:color w:val="auto"/>
          <w:sz w:val="24"/>
          <w:szCs w:val="24"/>
          <w:u w:val="single"/>
          <w:lang w:val="en-US" w:eastAsia="zh-CN"/>
        </w:rPr>
      </w:pPr>
      <w:r>
        <w:rPr>
          <w:rFonts w:hint="eastAsia"/>
          <w:b/>
          <w:bCs/>
          <w:color w:val="auto"/>
          <w:sz w:val="24"/>
          <w:szCs w:val="24"/>
          <w:lang w:val="en-US" w:eastAsia="zh-CN" w:bidi="en-US"/>
        </w:rPr>
        <w:t xml:space="preserve">1.5 </w:t>
      </w:r>
      <w:r>
        <w:rPr>
          <w:rFonts w:hint="eastAsia"/>
          <w:color w:val="auto"/>
          <w:sz w:val="24"/>
          <w:szCs w:val="24"/>
        </w:rPr>
        <w:t>采购项目概况：</w:t>
      </w:r>
      <w:r>
        <w:rPr>
          <w:rFonts w:hint="eastAsia"/>
          <w:color w:val="auto"/>
          <w:sz w:val="24"/>
          <w:szCs w:val="24"/>
          <w:u w:val="single"/>
        </w:rPr>
        <w:t>对</w:t>
      </w:r>
      <w:r>
        <w:rPr>
          <w:rFonts w:hint="eastAsia"/>
          <w:color w:val="auto"/>
          <w:sz w:val="24"/>
          <w:szCs w:val="24"/>
          <w:u w:val="single"/>
          <w:lang w:eastAsia="zh-CN"/>
        </w:rPr>
        <w:t>浦城县乡村振兴示范带建设项目（20条示范带）工程总承包项目预算编制服务</w:t>
      </w:r>
      <w:r>
        <w:rPr>
          <w:rFonts w:hint="eastAsia"/>
          <w:color w:val="auto"/>
          <w:sz w:val="24"/>
          <w:szCs w:val="24"/>
          <w:u w:val="single"/>
        </w:rPr>
        <w:t>进行采购</w:t>
      </w:r>
      <w:r>
        <w:rPr>
          <w:rFonts w:hint="eastAsia"/>
          <w:color w:val="auto"/>
          <w:sz w:val="24"/>
          <w:szCs w:val="24"/>
          <w:u w:val="single"/>
          <w:lang w:eastAsia="zh-CN"/>
        </w:rPr>
        <w:t>，</w:t>
      </w:r>
      <w:r>
        <w:rPr>
          <w:rFonts w:hint="eastAsia"/>
          <w:color w:val="auto"/>
          <w:sz w:val="24"/>
          <w:szCs w:val="24"/>
          <w:u w:val="single"/>
        </w:rPr>
        <w:t>本项目服务费用最高限价为</w:t>
      </w:r>
      <w:r>
        <w:rPr>
          <w:rFonts w:hint="eastAsia"/>
          <w:color w:val="auto"/>
          <w:sz w:val="24"/>
          <w:szCs w:val="24"/>
          <w:u w:val="single"/>
          <w:lang w:val="en-US" w:eastAsia="zh-CN"/>
        </w:rPr>
        <w:t>410000</w:t>
      </w:r>
      <w:r>
        <w:rPr>
          <w:rFonts w:hint="eastAsia"/>
          <w:color w:val="auto"/>
          <w:sz w:val="24"/>
          <w:szCs w:val="24"/>
          <w:u w:val="single"/>
        </w:rPr>
        <w:t>元。</w:t>
      </w:r>
    </w:p>
    <w:p>
      <w:pPr>
        <w:pStyle w:val="27"/>
        <w:tabs>
          <w:tab w:val="left" w:pos="9010"/>
        </w:tabs>
        <w:spacing w:line="360" w:lineRule="auto"/>
        <w:ind w:firstLine="0"/>
        <w:rPr>
          <w:color w:val="auto"/>
          <w:sz w:val="24"/>
          <w:szCs w:val="24"/>
        </w:rPr>
      </w:pPr>
      <w:r>
        <w:rPr>
          <w:rFonts w:hint="eastAsia"/>
          <w:b/>
          <w:bCs/>
          <w:color w:val="auto"/>
          <w:sz w:val="24"/>
          <w:szCs w:val="24"/>
          <w:lang w:val="en-US" w:eastAsia="zh-CN"/>
        </w:rPr>
        <w:t>1.6</w:t>
      </w:r>
      <w:r>
        <w:rPr>
          <w:rFonts w:hint="eastAsia"/>
          <w:color w:val="auto"/>
          <w:sz w:val="24"/>
          <w:szCs w:val="24"/>
          <w:lang w:val="en-US" w:eastAsia="zh-CN"/>
        </w:rPr>
        <w:t xml:space="preserve"> </w:t>
      </w:r>
      <w:r>
        <w:rPr>
          <w:rFonts w:hint="eastAsia"/>
          <w:color w:val="auto"/>
          <w:sz w:val="24"/>
          <w:szCs w:val="24"/>
        </w:rPr>
        <w:t>成交供应商数量及成交份额：一家</w:t>
      </w:r>
    </w:p>
    <w:p>
      <w:pPr>
        <w:pStyle w:val="3"/>
        <w:spacing w:before="0" w:after="0" w:line="360" w:lineRule="auto"/>
        <w:rPr>
          <w:rFonts w:ascii="宋体" w:hAnsi="宋体" w:eastAsia="宋体" w:cs="宋体"/>
          <w:bCs/>
          <w:color w:val="auto"/>
          <w:kern w:val="44"/>
          <w:sz w:val="28"/>
          <w:szCs w:val="28"/>
          <w:lang w:eastAsia="zh-CN"/>
        </w:rPr>
      </w:pPr>
      <w:bookmarkStart w:id="12" w:name="_Toc24901"/>
      <w:bookmarkStart w:id="13" w:name="_Toc8780"/>
      <w:bookmarkStart w:id="14" w:name="_Toc1629"/>
      <w:r>
        <w:rPr>
          <w:rFonts w:hint="eastAsia" w:ascii="宋体" w:hAnsi="宋体" w:eastAsia="宋体" w:cs="宋体"/>
          <w:bCs/>
          <w:color w:val="auto"/>
          <w:kern w:val="44"/>
          <w:sz w:val="28"/>
          <w:szCs w:val="28"/>
          <w:lang w:eastAsia="zh-CN"/>
        </w:rPr>
        <w:t>2 采购范围及相关要求</w:t>
      </w:r>
      <w:bookmarkEnd w:id="12"/>
      <w:bookmarkEnd w:id="13"/>
      <w:bookmarkEnd w:id="14"/>
    </w:p>
    <w:p>
      <w:pPr>
        <w:pStyle w:val="27"/>
        <w:tabs>
          <w:tab w:val="left" w:pos="7958"/>
          <w:tab w:val="left" w:leader="underscore" w:pos="9016"/>
          <w:tab w:val="left" w:pos="9029"/>
        </w:tabs>
        <w:spacing w:line="360" w:lineRule="auto"/>
        <w:ind w:firstLine="0"/>
        <w:jc w:val="both"/>
        <w:rPr>
          <w:color w:val="auto"/>
          <w:sz w:val="24"/>
          <w:szCs w:val="24"/>
        </w:rPr>
      </w:pPr>
      <w:r>
        <w:rPr>
          <w:rFonts w:hint="eastAsia"/>
          <w:b/>
          <w:bCs/>
          <w:color w:val="auto"/>
          <w:sz w:val="24"/>
          <w:szCs w:val="24"/>
          <w:lang w:val="en-US" w:eastAsia="zh-CN" w:bidi="en-US"/>
        </w:rPr>
        <w:t>2.</w:t>
      </w:r>
      <w:r>
        <w:rPr>
          <w:rFonts w:hint="eastAsia"/>
          <w:b/>
          <w:bCs/>
          <w:color w:val="auto"/>
          <w:sz w:val="24"/>
          <w:szCs w:val="24"/>
        </w:rPr>
        <w:t xml:space="preserve">1 </w:t>
      </w:r>
      <w:r>
        <w:rPr>
          <w:rFonts w:hint="eastAsia"/>
          <w:color w:val="auto"/>
          <w:sz w:val="24"/>
          <w:szCs w:val="24"/>
          <w:lang w:eastAsia="zh-CN"/>
        </w:rPr>
        <w:t>采</w:t>
      </w:r>
      <w:r>
        <w:rPr>
          <w:rFonts w:hint="eastAsia"/>
          <w:color w:val="auto"/>
          <w:sz w:val="24"/>
          <w:szCs w:val="24"/>
        </w:rPr>
        <w:t>购范围：</w:t>
      </w:r>
      <w:r>
        <w:rPr>
          <w:rFonts w:hint="eastAsia"/>
          <w:color w:val="auto"/>
          <w:sz w:val="24"/>
          <w:szCs w:val="24"/>
          <w:u w:val="single"/>
        </w:rPr>
        <w:t xml:space="preserve"> </w:t>
      </w:r>
      <w:r>
        <w:rPr>
          <w:rFonts w:hint="eastAsia"/>
          <w:color w:val="auto"/>
          <w:sz w:val="24"/>
          <w:szCs w:val="24"/>
          <w:u w:val="single"/>
          <w:lang w:val="en-US" w:eastAsia="zh-CN"/>
        </w:rPr>
        <w:t xml:space="preserve"> 浦城县乡村振兴示范带建设项目（20条示范带）工程总承包项目中的预算编制服务。</w:t>
      </w:r>
    </w:p>
    <w:p>
      <w:pPr>
        <w:pStyle w:val="27"/>
        <w:tabs>
          <w:tab w:val="left" w:pos="7958"/>
          <w:tab w:val="left" w:leader="underscore" w:pos="9016"/>
          <w:tab w:val="left" w:pos="9029"/>
        </w:tabs>
        <w:spacing w:line="360" w:lineRule="auto"/>
        <w:ind w:firstLine="0"/>
        <w:jc w:val="both"/>
        <w:rPr>
          <w:rFonts w:hint="default"/>
          <w:color w:val="auto"/>
          <w:sz w:val="24"/>
          <w:szCs w:val="24"/>
          <w:lang w:val="en-US" w:eastAsia="zh-CN"/>
        </w:rPr>
      </w:pPr>
      <w:r>
        <w:rPr>
          <w:rFonts w:hint="eastAsia"/>
          <w:b/>
          <w:bCs/>
          <w:color w:val="auto"/>
          <w:sz w:val="24"/>
          <w:szCs w:val="24"/>
          <w:lang w:val="en-US" w:eastAsia="zh-CN" w:bidi="en-US"/>
        </w:rPr>
        <w:t xml:space="preserve">2.2 </w:t>
      </w:r>
      <w:r>
        <w:rPr>
          <w:rFonts w:hint="eastAsia"/>
          <w:color w:val="auto"/>
          <w:sz w:val="24"/>
          <w:szCs w:val="24"/>
        </w:rPr>
        <w:t>服务期限：</w:t>
      </w:r>
      <w:r>
        <w:rPr>
          <w:rFonts w:hint="eastAsia"/>
          <w:color w:val="auto"/>
          <w:sz w:val="24"/>
          <w:szCs w:val="24"/>
          <w:u w:val="single"/>
        </w:rPr>
        <w:t xml:space="preserve"> </w:t>
      </w:r>
      <w:r>
        <w:rPr>
          <w:rFonts w:hint="eastAsia"/>
          <w:color w:val="auto"/>
          <w:sz w:val="24"/>
          <w:szCs w:val="24"/>
          <w:u w:val="single"/>
          <w:lang w:val="en-US" w:eastAsia="zh-CN"/>
        </w:rPr>
        <w:t xml:space="preserve"> 业主每提供一个完整的单位工程施工图纸 (经图审)后45个日历天提交该单位工程预算编制成果，并根据业主要求的时间配合预算审核工作。</w:t>
      </w:r>
    </w:p>
    <w:p>
      <w:pPr>
        <w:pStyle w:val="27"/>
        <w:tabs>
          <w:tab w:val="left" w:pos="7958"/>
          <w:tab w:val="left" w:leader="underscore" w:pos="9016"/>
          <w:tab w:val="left" w:pos="9029"/>
        </w:tabs>
        <w:spacing w:line="360" w:lineRule="auto"/>
        <w:ind w:firstLine="0"/>
        <w:jc w:val="both"/>
        <w:rPr>
          <w:color w:val="auto"/>
          <w:sz w:val="24"/>
          <w:szCs w:val="24"/>
          <w:lang w:val="en-US"/>
        </w:rPr>
      </w:pPr>
      <w:r>
        <w:rPr>
          <w:rFonts w:hint="eastAsia"/>
          <w:b/>
          <w:bCs/>
          <w:color w:val="auto"/>
          <w:sz w:val="24"/>
          <w:szCs w:val="24"/>
          <w:lang w:val="en-US" w:eastAsia="zh-CN" w:bidi="en-US"/>
        </w:rPr>
        <w:t xml:space="preserve">2.3 </w:t>
      </w:r>
      <w:r>
        <w:rPr>
          <w:rFonts w:hint="eastAsia"/>
          <w:color w:val="auto"/>
          <w:sz w:val="24"/>
          <w:szCs w:val="24"/>
        </w:rPr>
        <w:t>服务地点：</w:t>
      </w:r>
      <w:r>
        <w:rPr>
          <w:rFonts w:hint="eastAsia"/>
          <w:color w:val="auto"/>
          <w:sz w:val="24"/>
          <w:szCs w:val="24"/>
          <w:u w:val="single"/>
        </w:rPr>
        <w:t xml:space="preserve"> </w:t>
      </w:r>
      <w:r>
        <w:rPr>
          <w:rFonts w:hint="eastAsia"/>
          <w:color w:val="auto"/>
          <w:sz w:val="24"/>
          <w:szCs w:val="24"/>
          <w:u w:val="single"/>
          <w:lang w:val="en-US" w:eastAsia="zh-CN"/>
        </w:rPr>
        <w:t xml:space="preserve"> 浦城县   </w:t>
      </w:r>
    </w:p>
    <w:p>
      <w:pPr>
        <w:pStyle w:val="27"/>
        <w:tabs>
          <w:tab w:val="left" w:pos="7958"/>
          <w:tab w:val="left" w:leader="underscore" w:pos="9016"/>
          <w:tab w:val="left" w:pos="9029"/>
        </w:tabs>
        <w:spacing w:line="360" w:lineRule="auto"/>
        <w:ind w:firstLine="0"/>
        <w:jc w:val="both"/>
        <w:rPr>
          <w:color w:val="auto"/>
          <w:sz w:val="24"/>
          <w:szCs w:val="24"/>
          <w:lang w:val="en-US" w:eastAsia="zh-CN"/>
        </w:rPr>
      </w:pPr>
      <w:r>
        <w:rPr>
          <w:rFonts w:hint="eastAsia"/>
          <w:b/>
          <w:bCs/>
          <w:color w:val="auto"/>
          <w:sz w:val="24"/>
          <w:szCs w:val="24"/>
          <w:lang w:val="en-US" w:eastAsia="zh-CN" w:bidi="en-US"/>
        </w:rPr>
        <w:t xml:space="preserve">2.4 </w:t>
      </w:r>
      <w:r>
        <w:rPr>
          <w:rFonts w:hint="eastAsia"/>
          <w:color w:val="auto"/>
          <w:sz w:val="24"/>
          <w:szCs w:val="24"/>
        </w:rPr>
        <w:t>质量要求或服务标准：</w:t>
      </w:r>
      <w:r>
        <w:rPr>
          <w:rFonts w:hint="eastAsia" w:cs="宋体"/>
          <w:color w:val="auto"/>
          <w:sz w:val="24"/>
          <w:szCs w:val="24"/>
          <w:u w:val="single"/>
          <w:shd w:val="clear" w:color="auto" w:fill="auto"/>
          <w:lang w:val="en-US" w:eastAsia="zh-CN" w:bidi="zh-TW"/>
        </w:rPr>
        <w:t xml:space="preserve">   符合现行国家、本地区或行业有关规定、标准、规范的要求。</w:t>
      </w:r>
    </w:p>
    <w:p>
      <w:pPr>
        <w:pStyle w:val="3"/>
        <w:spacing w:before="0" w:after="0" w:line="360" w:lineRule="auto"/>
        <w:rPr>
          <w:rFonts w:ascii="宋体" w:hAnsi="宋体" w:eastAsia="宋体" w:cs="宋体"/>
          <w:bCs/>
          <w:color w:val="auto"/>
          <w:kern w:val="44"/>
          <w:sz w:val="28"/>
          <w:szCs w:val="28"/>
          <w:lang w:eastAsia="zh-CN"/>
        </w:rPr>
      </w:pPr>
      <w:bookmarkStart w:id="15" w:name="_Toc7176"/>
      <w:bookmarkStart w:id="16" w:name="_Toc1963"/>
      <w:bookmarkStart w:id="17" w:name="_Toc24857"/>
      <w:r>
        <w:rPr>
          <w:rFonts w:hint="eastAsia" w:ascii="宋体" w:hAnsi="宋体" w:eastAsia="宋体" w:cs="宋体"/>
          <w:bCs/>
          <w:color w:val="auto"/>
          <w:kern w:val="44"/>
          <w:sz w:val="28"/>
          <w:szCs w:val="28"/>
          <w:lang w:eastAsia="zh-CN"/>
        </w:rPr>
        <w:t>3 供应商资格要求</w:t>
      </w:r>
      <w:bookmarkEnd w:id="15"/>
      <w:bookmarkEnd w:id="16"/>
      <w:bookmarkEnd w:id="17"/>
    </w:p>
    <w:p>
      <w:pPr>
        <w:pStyle w:val="27"/>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资质要求：</w:t>
      </w:r>
      <w:r>
        <w:rPr>
          <w:rFonts w:hint="eastAsia" w:ascii="宋体" w:hAnsi="宋体" w:eastAsia="宋体" w:cs="宋体"/>
          <w:sz w:val="24"/>
          <w:szCs w:val="24"/>
          <w:u w:val="single"/>
          <w:lang w:val="en-US" w:eastAsia="zh-CN"/>
        </w:rPr>
        <w:t xml:space="preserve">供应商须具备有效的营业执照（经营范围应包含工程造价咨询有关内容）且供应商必须在福建住房和城乡建设网的福建省建设行业信息公开平台的工程造价企业或省外造价企业栏目中查询得到，并具有独立法人资格。 </w:t>
      </w:r>
      <w:r>
        <w:rPr>
          <w:rFonts w:hint="eastAsia" w:cs="宋体"/>
          <w:sz w:val="24"/>
          <w:szCs w:val="24"/>
          <w:u w:val="single"/>
          <w:lang w:val="en-US" w:eastAsia="zh-CN"/>
        </w:rPr>
        <w:t xml:space="preserve"> </w:t>
      </w:r>
    </w:p>
    <w:p>
      <w:pPr>
        <w:pStyle w:val="27"/>
        <w:tabs>
          <w:tab w:val="left" w:pos="924"/>
          <w:tab w:val="left" w:pos="8938"/>
        </w:tabs>
        <w:spacing w:line="360" w:lineRule="auto"/>
        <w:ind w:firstLine="480" w:firstLineChars="200"/>
        <w:rPr>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财务要求：</w:t>
      </w:r>
      <w:r>
        <w:rPr>
          <w:rFonts w:hint="eastAsia"/>
          <w:sz w:val="24"/>
          <w:szCs w:val="24"/>
          <w:u w:val="single"/>
        </w:rPr>
        <w:t>供应商提供近年</w:t>
      </w:r>
      <w:r>
        <w:rPr>
          <w:rFonts w:hint="eastAsia"/>
          <w:sz w:val="24"/>
          <w:szCs w:val="24"/>
          <w:u w:val="single"/>
          <w:lang w:val="en-US" w:eastAsia="zh-CN"/>
        </w:rPr>
        <w:t>中任意一年</w:t>
      </w:r>
      <w:r>
        <w:rPr>
          <w:rFonts w:hint="eastAsia"/>
          <w:sz w:val="24"/>
          <w:szCs w:val="24"/>
          <w:u w:val="single"/>
        </w:rPr>
        <w:t>财务会计报表复印件，包括资产负债表、利润表。近年财务会计报表年份是指：202</w:t>
      </w:r>
      <w:r>
        <w:rPr>
          <w:rFonts w:hint="eastAsia"/>
          <w:sz w:val="24"/>
          <w:szCs w:val="24"/>
          <w:u w:val="single"/>
          <w:lang w:val="en-US" w:eastAsia="zh-CN"/>
        </w:rPr>
        <w:t>1年</w:t>
      </w:r>
      <w:r>
        <w:rPr>
          <w:rFonts w:hint="eastAsia"/>
          <w:sz w:val="24"/>
          <w:szCs w:val="24"/>
          <w:u w:val="single"/>
        </w:rPr>
        <w:t>1月1日至202</w:t>
      </w:r>
      <w:r>
        <w:rPr>
          <w:rFonts w:hint="eastAsia"/>
          <w:sz w:val="24"/>
          <w:szCs w:val="24"/>
          <w:u w:val="single"/>
          <w:lang w:val="en-US" w:eastAsia="zh-CN"/>
        </w:rPr>
        <w:t>3</w:t>
      </w:r>
      <w:r>
        <w:rPr>
          <w:rFonts w:hint="eastAsia"/>
          <w:sz w:val="24"/>
          <w:szCs w:val="24"/>
          <w:u w:val="single"/>
        </w:rPr>
        <w:t>年12月31日</w:t>
      </w:r>
      <w:r>
        <w:rPr>
          <w:rFonts w:hint="eastAsia"/>
          <w:sz w:val="24"/>
          <w:szCs w:val="24"/>
          <w:u w:val="single"/>
          <w:lang w:val="en-US" w:eastAsia="zh-CN"/>
        </w:rPr>
        <w:t>。</w:t>
      </w:r>
    </w:p>
    <w:p>
      <w:pPr>
        <w:pStyle w:val="27"/>
        <w:tabs>
          <w:tab w:val="left" w:pos="924"/>
          <w:tab w:val="left" w:pos="8934"/>
        </w:tabs>
        <w:spacing w:line="360" w:lineRule="auto"/>
        <w:ind w:firstLine="480" w:firstLineChars="200"/>
        <w:rPr>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业绩要求：</w:t>
      </w:r>
      <w:r>
        <w:rPr>
          <w:rFonts w:hint="eastAsia"/>
          <w:color w:val="auto"/>
          <w:sz w:val="24"/>
          <w:szCs w:val="24"/>
          <w:u w:val="single"/>
        </w:rPr>
        <w:t xml:space="preserve"> </w:t>
      </w:r>
      <w:r>
        <w:rPr>
          <w:rFonts w:hint="eastAsia"/>
          <w:color w:val="auto"/>
          <w:sz w:val="24"/>
          <w:szCs w:val="24"/>
          <w:u w:val="single"/>
          <w:lang w:val="en-US" w:eastAsia="zh-CN"/>
        </w:rPr>
        <w:t xml:space="preserve"> 无                                                      </w:t>
      </w:r>
    </w:p>
    <w:p>
      <w:pPr>
        <w:pStyle w:val="27"/>
        <w:tabs>
          <w:tab w:val="left" w:pos="924"/>
          <w:tab w:val="left" w:pos="8938"/>
        </w:tabs>
        <w:spacing w:line="360" w:lineRule="auto"/>
        <w:ind w:firstLine="480" w:firstLineChars="200"/>
        <w:jc w:val="both"/>
        <w:rPr>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信誉要求：</w:t>
      </w:r>
      <w:r>
        <w:rPr>
          <w:rFonts w:hint="eastAsia"/>
          <w:color w:val="auto"/>
          <w:sz w:val="24"/>
          <w:szCs w:val="24"/>
          <w:u w:val="single"/>
          <w:lang w:val="en-US" w:eastAsia="zh-CN"/>
        </w:rPr>
        <w:t>①在“中国执行信息公开网”（网址： zxgk.court.gov.cn/shixin）中未被列入失信被执行人名单的供应商；②在国家企业信用信息公示系统（网址：www.gsxt.gov.cn）中未被列入严重违法失信企业名单的供应商。</w:t>
      </w:r>
    </w:p>
    <w:p>
      <w:pPr>
        <w:pStyle w:val="27"/>
        <w:tabs>
          <w:tab w:val="left" w:pos="924"/>
          <w:tab w:val="left" w:pos="8938"/>
        </w:tabs>
        <w:spacing w:line="360" w:lineRule="auto"/>
        <w:ind w:firstLine="480" w:firstLineChars="200"/>
        <w:rPr>
          <w:rFonts w:hint="eastAsia" w:eastAsia="宋体"/>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承担本项目的主要人员要求：</w:t>
      </w:r>
      <w:r>
        <w:rPr>
          <w:rFonts w:hint="eastAsia"/>
          <w:color w:val="auto"/>
          <w:sz w:val="24"/>
          <w:szCs w:val="24"/>
          <w:u w:val="single"/>
          <w:lang w:val="en-US" w:eastAsia="zh-CN"/>
        </w:rPr>
        <w:t xml:space="preserve"> </w:t>
      </w:r>
      <w:r>
        <w:rPr>
          <w:rFonts w:hint="eastAsia" w:ascii="宋体" w:hAnsi="宋体" w:eastAsia="宋体" w:cs="宋体"/>
          <w:sz w:val="24"/>
          <w:szCs w:val="24"/>
          <w:u w:val="single"/>
        </w:rPr>
        <w:t>拟担任本项目的项目负责人应具备有效的一级注册造价工程师执业证书。</w:t>
      </w:r>
    </w:p>
    <w:p>
      <w:pPr>
        <w:pStyle w:val="27"/>
        <w:tabs>
          <w:tab w:val="left" w:pos="1035"/>
          <w:tab w:val="left" w:pos="9067"/>
        </w:tabs>
        <w:spacing w:line="360" w:lineRule="auto"/>
        <w:ind w:firstLine="480" w:firstLineChars="200"/>
        <w:rPr>
          <w:color w:val="auto"/>
          <w:sz w:val="24"/>
          <w:szCs w:val="24"/>
          <w:u w:val="single"/>
          <w:lang w:val="en-US" w:eastAsia="zh-CN"/>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其他要求：</w:t>
      </w:r>
      <w:r>
        <w:rPr>
          <w:rFonts w:hint="eastAsia"/>
          <w:color w:val="auto"/>
          <w:sz w:val="24"/>
          <w:szCs w:val="24"/>
          <w:u w:val="single"/>
        </w:rPr>
        <w:t xml:space="preserve"> </w:t>
      </w:r>
      <w:r>
        <w:rPr>
          <w:rFonts w:hint="eastAsia"/>
          <w:color w:val="auto"/>
          <w:sz w:val="24"/>
          <w:szCs w:val="24"/>
          <w:u w:val="single"/>
          <w:lang w:val="en-US" w:eastAsia="zh-CN"/>
        </w:rPr>
        <w:t xml:space="preserve">/  </w:t>
      </w:r>
    </w:p>
    <w:p>
      <w:pPr>
        <w:pStyle w:val="27"/>
        <w:tabs>
          <w:tab w:val="left" w:pos="1035"/>
          <w:tab w:val="left" w:pos="9067"/>
        </w:tabs>
        <w:spacing w:line="360" w:lineRule="auto"/>
        <w:ind w:firstLine="0"/>
        <w:rPr>
          <w:color w:val="auto"/>
          <w:sz w:val="24"/>
          <w:szCs w:val="24"/>
        </w:rPr>
      </w:pPr>
      <w:r>
        <w:rPr>
          <w:rFonts w:hint="eastAsia"/>
          <w:b/>
          <w:bCs/>
          <w:color w:val="auto"/>
          <w:sz w:val="24"/>
          <w:szCs w:val="24"/>
          <w:lang w:val="en-US" w:eastAsia="zh-CN" w:bidi="en-US"/>
        </w:rPr>
        <w:t xml:space="preserve">3.2 </w:t>
      </w:r>
      <w:r>
        <w:rPr>
          <w:rFonts w:hint="eastAsia"/>
          <w:color w:val="auto"/>
          <w:sz w:val="24"/>
          <w:szCs w:val="24"/>
        </w:rPr>
        <w:t>供应商不得存在下列情形之一：</w:t>
      </w:r>
    </w:p>
    <w:p>
      <w:pPr>
        <w:pStyle w:val="27"/>
        <w:tabs>
          <w:tab w:val="left" w:pos="1026"/>
        </w:tabs>
        <w:spacing w:line="360" w:lineRule="auto"/>
        <w:ind w:firstLine="480" w:firstLineChars="200"/>
        <w:rPr>
          <w:color w:val="auto"/>
          <w:sz w:val="24"/>
          <w:szCs w:val="24"/>
        </w:rPr>
      </w:pPr>
      <w:r>
        <w:rPr>
          <w:rFonts w:hint="eastAsia"/>
          <w:color w:val="auto"/>
          <w:sz w:val="24"/>
          <w:szCs w:val="24"/>
          <w:lang w:val="en-US" w:eastAsia="zh-CN"/>
        </w:rPr>
        <w:t xml:space="preserve">（1） </w:t>
      </w:r>
      <w:r>
        <w:rPr>
          <w:rFonts w:hint="eastAsia"/>
          <w:color w:val="auto"/>
          <w:sz w:val="24"/>
          <w:szCs w:val="24"/>
        </w:rPr>
        <w:t>处于被责令停产停业、暂扣或者吊销执照、暂扣或者吊销许可证、吊销资质证书状态；</w:t>
      </w:r>
    </w:p>
    <w:p>
      <w:pPr>
        <w:pStyle w:val="27"/>
        <w:tabs>
          <w:tab w:val="left" w:pos="924"/>
        </w:tabs>
        <w:spacing w:line="360" w:lineRule="auto"/>
        <w:ind w:firstLine="480" w:firstLineChars="200"/>
        <w:rPr>
          <w:color w:val="auto"/>
          <w:sz w:val="24"/>
          <w:szCs w:val="24"/>
        </w:rPr>
      </w:pPr>
      <w:r>
        <w:rPr>
          <w:rFonts w:hint="eastAsia"/>
          <w:color w:val="auto"/>
          <w:sz w:val="24"/>
          <w:szCs w:val="24"/>
          <w:lang w:val="en-US" w:eastAsia="zh-CN"/>
        </w:rPr>
        <w:t xml:space="preserve">（2） </w:t>
      </w:r>
      <w:r>
        <w:rPr>
          <w:rFonts w:hint="eastAsia"/>
          <w:color w:val="auto"/>
          <w:sz w:val="24"/>
          <w:szCs w:val="24"/>
        </w:rPr>
        <w:t>进入清算程序，或被宣告破产，或其他丧失履约能力的情形；</w:t>
      </w:r>
    </w:p>
    <w:p>
      <w:pPr>
        <w:pStyle w:val="27"/>
        <w:tabs>
          <w:tab w:val="left" w:pos="1030"/>
          <w:tab w:val="left" w:pos="2674"/>
          <w:tab w:val="left" w:pos="9062"/>
        </w:tabs>
        <w:spacing w:line="360" w:lineRule="auto"/>
        <w:ind w:firstLine="480" w:firstLineChars="200"/>
        <w:rPr>
          <w:color w:val="auto"/>
          <w:sz w:val="24"/>
          <w:szCs w:val="24"/>
          <w:u w:val="single"/>
          <w:lang w:val="en-US"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其他：</w:t>
      </w:r>
      <w:r>
        <w:rPr>
          <w:rFonts w:hint="eastAsia"/>
          <w:color w:val="auto"/>
          <w:sz w:val="24"/>
          <w:szCs w:val="24"/>
          <w:u w:val="single"/>
        </w:rPr>
        <w:t xml:space="preserve"> </w:t>
      </w:r>
      <w:r>
        <w:rPr>
          <w:rFonts w:hint="eastAsia"/>
          <w:color w:val="auto"/>
          <w:sz w:val="24"/>
          <w:szCs w:val="24"/>
          <w:u w:val="single"/>
          <w:lang w:val="en-US" w:eastAsia="zh-CN"/>
        </w:rPr>
        <w:t xml:space="preserve">/  </w:t>
      </w:r>
    </w:p>
    <w:p>
      <w:pPr>
        <w:pStyle w:val="27"/>
        <w:tabs>
          <w:tab w:val="left" w:pos="1030"/>
          <w:tab w:val="left" w:pos="2674"/>
          <w:tab w:val="left" w:pos="9062"/>
        </w:tabs>
        <w:spacing w:line="360" w:lineRule="auto"/>
        <w:ind w:firstLine="0"/>
        <w:rPr>
          <w:color w:val="auto"/>
          <w:sz w:val="24"/>
          <w:szCs w:val="24"/>
        </w:rPr>
      </w:pPr>
      <w:r>
        <w:rPr>
          <w:rFonts w:hint="eastAsia"/>
          <w:b/>
          <w:bCs/>
          <w:color w:val="auto"/>
          <w:sz w:val="24"/>
          <w:szCs w:val="24"/>
          <w:lang w:val="en-US" w:eastAsia="zh-CN" w:bidi="en-US"/>
        </w:rPr>
        <w:t xml:space="preserve">3.3 </w:t>
      </w:r>
      <w:r>
        <w:rPr>
          <w:rFonts w:hint="eastAsia"/>
          <w:color w:val="auto"/>
          <w:sz w:val="24"/>
          <w:szCs w:val="24"/>
        </w:rPr>
        <w:t>本次采购</w:t>
      </w:r>
      <w:r>
        <w:rPr>
          <w:rFonts w:hint="eastAsia"/>
          <w:color w:val="auto"/>
          <w:sz w:val="24"/>
          <w:szCs w:val="24"/>
          <w:u w:val="single"/>
        </w:rPr>
        <w:t xml:space="preserve"> 不接受</w:t>
      </w:r>
      <w:r>
        <w:rPr>
          <w:rFonts w:hint="eastAsia"/>
          <w:color w:val="auto"/>
          <w:sz w:val="24"/>
          <w:szCs w:val="24"/>
          <w:u w:val="single"/>
          <w:lang w:val="en-US" w:eastAsia="zh-CN"/>
        </w:rPr>
        <w:t xml:space="preserve"> </w:t>
      </w:r>
      <w:r>
        <w:rPr>
          <w:rFonts w:hint="eastAsia"/>
          <w:color w:val="auto"/>
          <w:sz w:val="24"/>
          <w:szCs w:val="24"/>
        </w:rPr>
        <w:t>联合体。</w:t>
      </w:r>
    </w:p>
    <w:p>
      <w:pPr>
        <w:pStyle w:val="3"/>
        <w:spacing w:before="0" w:after="0" w:line="360" w:lineRule="auto"/>
        <w:rPr>
          <w:rFonts w:ascii="宋体" w:hAnsi="宋体" w:eastAsia="宋体" w:cs="宋体"/>
          <w:bCs/>
          <w:color w:val="auto"/>
          <w:kern w:val="44"/>
          <w:sz w:val="28"/>
          <w:szCs w:val="28"/>
          <w:lang w:eastAsia="zh-CN"/>
        </w:rPr>
      </w:pPr>
      <w:bookmarkStart w:id="18" w:name="_Toc32675"/>
      <w:bookmarkStart w:id="19" w:name="_Toc30391"/>
      <w:bookmarkStart w:id="20" w:name="_Toc8289"/>
      <w:r>
        <w:rPr>
          <w:rFonts w:hint="eastAsia" w:ascii="宋体" w:hAnsi="宋体" w:eastAsia="宋体" w:cs="宋体"/>
          <w:bCs/>
          <w:color w:val="auto"/>
          <w:kern w:val="44"/>
          <w:sz w:val="28"/>
          <w:szCs w:val="28"/>
          <w:lang w:eastAsia="zh-CN"/>
        </w:rPr>
        <w:t>4 采购文件的获取</w:t>
      </w:r>
      <w:bookmarkEnd w:id="18"/>
      <w:bookmarkEnd w:id="19"/>
      <w:bookmarkEnd w:id="20"/>
    </w:p>
    <w:p>
      <w:pPr>
        <w:pStyle w:val="27"/>
        <w:tabs>
          <w:tab w:val="left" w:pos="955"/>
          <w:tab w:val="left" w:pos="2256"/>
          <w:tab w:val="left" w:pos="2405"/>
          <w:tab w:val="left" w:pos="3595"/>
          <w:tab w:val="left" w:pos="3662"/>
          <w:tab w:val="left" w:pos="5938"/>
          <w:tab w:val="left" w:pos="6322"/>
          <w:tab w:val="left" w:pos="7224"/>
          <w:tab w:val="left" w:pos="7349"/>
          <w:tab w:val="left" w:pos="7790"/>
          <w:tab w:val="left" w:pos="7954"/>
          <w:tab w:val="left" w:pos="8515"/>
        </w:tabs>
        <w:spacing w:line="360" w:lineRule="auto"/>
        <w:ind w:firstLine="0"/>
        <w:jc w:val="both"/>
        <w:rPr>
          <w:color w:val="auto"/>
          <w:sz w:val="24"/>
          <w:szCs w:val="24"/>
        </w:rPr>
      </w:pPr>
      <w:r>
        <w:rPr>
          <w:rFonts w:hint="eastAsia"/>
          <w:b/>
          <w:bCs/>
          <w:color w:val="auto"/>
          <w:sz w:val="24"/>
          <w:szCs w:val="24"/>
          <w:lang w:val="en-US" w:eastAsia="zh-CN" w:bidi="en-US"/>
        </w:rPr>
        <w:t xml:space="preserve">4.1 </w:t>
      </w:r>
      <w:r>
        <w:rPr>
          <w:rFonts w:hint="eastAsia"/>
          <w:color w:val="auto"/>
          <w:sz w:val="24"/>
          <w:szCs w:val="24"/>
          <w:lang w:val="en-US" w:eastAsia="zh-CN" w:bidi="en-US"/>
        </w:rPr>
        <w:t>如贵单位</w:t>
      </w:r>
      <w:r>
        <w:rPr>
          <w:rFonts w:hint="eastAsia"/>
          <w:color w:val="auto"/>
          <w:sz w:val="24"/>
          <w:szCs w:val="24"/>
        </w:rPr>
        <w:t>有意参加</w:t>
      </w:r>
      <w:r>
        <w:rPr>
          <w:rFonts w:hint="eastAsia"/>
          <w:color w:val="auto"/>
          <w:sz w:val="24"/>
          <w:szCs w:val="24"/>
          <w:lang w:eastAsia="zh-CN"/>
        </w:rPr>
        <w:t>询比</w:t>
      </w:r>
      <w:r>
        <w:rPr>
          <w:rFonts w:hint="eastAsia"/>
          <w:color w:val="auto"/>
          <w:sz w:val="24"/>
          <w:szCs w:val="24"/>
        </w:rPr>
        <w:t>采购活动，请于</w:t>
      </w:r>
      <w:r>
        <w:rPr>
          <w:rFonts w:hint="eastAsia"/>
          <w:color w:val="auto"/>
          <w:sz w:val="24"/>
          <w:szCs w:val="24"/>
          <w:u w:val="single"/>
          <w:lang w:val="en-US" w:eastAsia="zh-CN"/>
        </w:rPr>
        <w:t>2024</w:t>
      </w:r>
      <w:r>
        <w:rPr>
          <w:rFonts w:hint="eastAsia"/>
          <w:color w:val="auto"/>
          <w:sz w:val="24"/>
          <w:szCs w:val="24"/>
        </w:rPr>
        <w:t>年</w:t>
      </w:r>
      <w:r>
        <w:rPr>
          <w:rFonts w:hint="eastAsia"/>
          <w:color w:val="auto"/>
          <w:sz w:val="24"/>
          <w:szCs w:val="24"/>
          <w:u w:val="single"/>
          <w:lang w:val="en-US" w:eastAsia="zh-CN"/>
        </w:rPr>
        <w:t>05</w:t>
      </w:r>
      <w:r>
        <w:rPr>
          <w:rFonts w:hint="eastAsia"/>
          <w:color w:val="auto"/>
          <w:sz w:val="24"/>
          <w:szCs w:val="24"/>
        </w:rPr>
        <w:t>月</w:t>
      </w:r>
      <w:r>
        <w:rPr>
          <w:rFonts w:hint="eastAsia"/>
          <w:color w:val="auto"/>
          <w:sz w:val="24"/>
          <w:szCs w:val="24"/>
          <w:u w:val="single"/>
          <w:lang w:val="en-US" w:eastAsia="zh-CN"/>
        </w:rPr>
        <w:t xml:space="preserve"> 23 </w:t>
      </w:r>
      <w:r>
        <w:rPr>
          <w:rFonts w:hint="eastAsia"/>
          <w:color w:val="auto"/>
          <w:sz w:val="24"/>
          <w:szCs w:val="24"/>
        </w:rPr>
        <w:t>日至</w:t>
      </w:r>
      <w:r>
        <w:rPr>
          <w:rFonts w:hint="eastAsia"/>
          <w:color w:val="auto"/>
          <w:sz w:val="24"/>
          <w:szCs w:val="24"/>
          <w:u w:val="single"/>
          <w:lang w:val="en-US" w:eastAsia="zh-CN"/>
        </w:rPr>
        <w:t>2024</w:t>
      </w:r>
      <w:r>
        <w:rPr>
          <w:rFonts w:hint="eastAsia"/>
          <w:color w:val="auto"/>
          <w:sz w:val="24"/>
          <w:szCs w:val="24"/>
        </w:rPr>
        <w:t>年</w:t>
      </w:r>
      <w:r>
        <w:rPr>
          <w:rFonts w:hint="eastAsia"/>
          <w:color w:val="auto"/>
          <w:sz w:val="24"/>
          <w:szCs w:val="24"/>
          <w:u w:val="single"/>
          <w:lang w:val="en-US" w:eastAsia="zh-CN"/>
        </w:rPr>
        <w:t>5</w:t>
      </w:r>
      <w:r>
        <w:rPr>
          <w:rFonts w:hint="eastAsia"/>
          <w:color w:val="auto"/>
          <w:sz w:val="24"/>
          <w:szCs w:val="24"/>
        </w:rPr>
        <w:t>月</w:t>
      </w:r>
      <w:r>
        <w:rPr>
          <w:rFonts w:hint="eastAsia"/>
          <w:color w:val="auto"/>
          <w:sz w:val="24"/>
          <w:szCs w:val="24"/>
          <w:u w:val="single"/>
          <w:lang w:val="en-US" w:eastAsia="zh-CN"/>
        </w:rPr>
        <w:t xml:space="preserve"> 27 </w:t>
      </w:r>
      <w:r>
        <w:rPr>
          <w:rFonts w:hint="eastAsia"/>
          <w:color w:val="auto"/>
          <w:sz w:val="24"/>
          <w:szCs w:val="24"/>
        </w:rPr>
        <w:t>日，每日上午</w:t>
      </w:r>
      <w:r>
        <w:rPr>
          <w:rFonts w:hint="eastAsia"/>
          <w:color w:val="auto"/>
          <w:sz w:val="24"/>
          <w:szCs w:val="24"/>
          <w:u w:val="single"/>
          <w:lang w:val="en-US" w:eastAsia="zh-CN"/>
        </w:rPr>
        <w:t>08</w:t>
      </w:r>
      <w:r>
        <w:rPr>
          <w:rFonts w:hint="eastAsia"/>
          <w:color w:val="auto"/>
          <w:sz w:val="24"/>
          <w:szCs w:val="24"/>
        </w:rPr>
        <w:t>时</w:t>
      </w:r>
      <w:r>
        <w:rPr>
          <w:rFonts w:hint="eastAsia"/>
          <w:color w:val="auto"/>
          <w:sz w:val="24"/>
          <w:szCs w:val="24"/>
          <w:u w:val="single"/>
          <w:lang w:val="en-US" w:eastAsia="zh-CN"/>
        </w:rPr>
        <w:t>00</w:t>
      </w:r>
      <w:r>
        <w:rPr>
          <w:rFonts w:hint="eastAsia"/>
          <w:color w:val="auto"/>
          <w:sz w:val="24"/>
          <w:szCs w:val="24"/>
        </w:rPr>
        <w:t>分至</w:t>
      </w:r>
      <w:r>
        <w:rPr>
          <w:rFonts w:hint="eastAsia"/>
          <w:color w:val="auto"/>
          <w:sz w:val="24"/>
          <w:szCs w:val="24"/>
          <w:u w:val="single"/>
          <w:lang w:val="en-US" w:eastAsia="zh-CN"/>
        </w:rPr>
        <w:t>12</w:t>
      </w:r>
      <w:r>
        <w:rPr>
          <w:rFonts w:hint="eastAsia"/>
          <w:color w:val="auto"/>
          <w:sz w:val="24"/>
          <w:szCs w:val="24"/>
        </w:rPr>
        <w:t>时</w:t>
      </w:r>
      <w:r>
        <w:rPr>
          <w:rFonts w:hint="eastAsia"/>
          <w:color w:val="auto"/>
          <w:sz w:val="24"/>
          <w:szCs w:val="24"/>
          <w:u w:val="single"/>
          <w:lang w:val="en-US" w:eastAsia="zh-CN"/>
        </w:rPr>
        <w:t>00</w:t>
      </w:r>
      <w:r>
        <w:rPr>
          <w:rFonts w:hint="eastAsia"/>
          <w:color w:val="auto"/>
          <w:sz w:val="24"/>
          <w:szCs w:val="24"/>
        </w:rPr>
        <w:t>分，下午</w:t>
      </w:r>
      <w:r>
        <w:rPr>
          <w:rFonts w:hint="eastAsia"/>
          <w:color w:val="auto"/>
          <w:sz w:val="24"/>
          <w:szCs w:val="24"/>
          <w:u w:val="single"/>
          <w:lang w:val="en-US" w:eastAsia="zh-CN"/>
        </w:rPr>
        <w:t>15</w:t>
      </w:r>
      <w:r>
        <w:rPr>
          <w:rFonts w:hint="eastAsia"/>
          <w:color w:val="auto"/>
          <w:sz w:val="24"/>
          <w:szCs w:val="24"/>
        </w:rPr>
        <w:t>时</w:t>
      </w:r>
      <w:r>
        <w:rPr>
          <w:rFonts w:hint="eastAsia"/>
          <w:color w:val="auto"/>
          <w:sz w:val="24"/>
          <w:szCs w:val="24"/>
          <w:u w:val="single"/>
          <w:lang w:val="en-US" w:eastAsia="zh-CN"/>
        </w:rPr>
        <w:t>00</w:t>
      </w:r>
      <w:r>
        <w:rPr>
          <w:rFonts w:hint="eastAsia"/>
          <w:color w:val="auto"/>
          <w:sz w:val="24"/>
          <w:szCs w:val="24"/>
        </w:rPr>
        <w:t>分至</w:t>
      </w:r>
      <w:r>
        <w:rPr>
          <w:rFonts w:hint="eastAsia"/>
          <w:color w:val="auto"/>
          <w:sz w:val="24"/>
          <w:szCs w:val="24"/>
          <w:u w:val="single"/>
          <w:lang w:val="en-US" w:eastAsia="zh-CN"/>
        </w:rPr>
        <w:t>17</w:t>
      </w:r>
      <w:r>
        <w:rPr>
          <w:rFonts w:hint="eastAsia"/>
          <w:color w:val="auto"/>
          <w:sz w:val="24"/>
          <w:szCs w:val="24"/>
        </w:rPr>
        <w:t>时</w:t>
      </w:r>
      <w:r>
        <w:rPr>
          <w:rFonts w:hint="eastAsia"/>
          <w:color w:val="auto"/>
          <w:sz w:val="24"/>
          <w:szCs w:val="24"/>
          <w:u w:val="single"/>
          <w:lang w:val="en-US" w:eastAsia="zh-CN"/>
        </w:rPr>
        <w:t>30</w:t>
      </w:r>
      <w:r>
        <w:rPr>
          <w:rFonts w:hint="eastAsia"/>
          <w:color w:val="auto"/>
          <w:sz w:val="24"/>
          <w:szCs w:val="24"/>
        </w:rPr>
        <w:t>分(北京时间，下同)，在</w:t>
      </w:r>
      <w:r>
        <w:rPr>
          <w:rFonts w:hint="eastAsia" w:ascii="宋体" w:hAnsi="宋体" w:eastAsia="宋体" w:cs="宋体"/>
          <w:color w:val="000000"/>
          <w:spacing w:val="0"/>
          <w:w w:val="100"/>
          <w:position w:val="0"/>
          <w:sz w:val="24"/>
          <w:szCs w:val="24"/>
          <w:u w:val="single"/>
          <w:shd w:val="clear" w:color="auto" w:fill="auto"/>
          <w:lang w:eastAsia="zh-CN"/>
        </w:rPr>
        <w:t>南平市公共资源交易中心平台(http://ggzy.npgoy.cn/npztb/)</w:t>
      </w:r>
      <w:r>
        <w:rPr>
          <w:rFonts w:hint="eastAsia" w:cs="宋体"/>
          <w:color w:val="000000"/>
          <w:spacing w:val="0"/>
          <w:w w:val="100"/>
          <w:position w:val="0"/>
          <w:sz w:val="24"/>
          <w:szCs w:val="24"/>
          <w:u w:val="single"/>
          <w:shd w:val="clear" w:color="auto" w:fill="auto"/>
          <w:lang w:eastAsia="zh-CN"/>
        </w:rPr>
        <w:t>、</w:t>
      </w:r>
      <w:r>
        <w:rPr>
          <w:rFonts w:hint="eastAsia"/>
          <w:sz w:val="24"/>
          <w:szCs w:val="24"/>
          <w:u w:val="single"/>
          <w:lang w:eastAsia="zh-CN"/>
        </w:rPr>
        <w:t>福建省国资采购平台（https://ygcg.fjcqjy.com/）</w:t>
      </w:r>
      <w:r>
        <w:rPr>
          <w:rFonts w:hint="eastAsia"/>
          <w:color w:val="auto"/>
          <w:sz w:val="24"/>
          <w:szCs w:val="24"/>
        </w:rPr>
        <w:t>购买采购文件。</w:t>
      </w:r>
    </w:p>
    <w:p>
      <w:pPr>
        <w:pStyle w:val="27"/>
        <w:tabs>
          <w:tab w:val="left" w:pos="3494"/>
        </w:tabs>
        <w:spacing w:line="360" w:lineRule="auto"/>
        <w:ind w:firstLine="0"/>
        <w:rPr>
          <w:color w:val="auto"/>
          <w:sz w:val="24"/>
          <w:szCs w:val="24"/>
        </w:rPr>
      </w:pPr>
      <w:r>
        <w:rPr>
          <w:rFonts w:hint="eastAsia"/>
          <w:b/>
          <w:bCs/>
          <w:color w:val="auto"/>
          <w:sz w:val="24"/>
          <w:szCs w:val="24"/>
          <w:lang w:val="en-US" w:eastAsia="zh-CN" w:bidi="en-US"/>
        </w:rPr>
        <w:t xml:space="preserve">4.2 </w:t>
      </w:r>
      <w:r>
        <w:rPr>
          <w:rFonts w:hint="eastAsia"/>
          <w:color w:val="auto"/>
          <w:sz w:val="24"/>
          <w:szCs w:val="24"/>
        </w:rPr>
        <w:t>釆购文件每套售价</w:t>
      </w:r>
      <w:r>
        <w:rPr>
          <w:rFonts w:hint="eastAsia"/>
          <w:color w:val="auto"/>
          <w:sz w:val="24"/>
          <w:szCs w:val="24"/>
          <w:u w:val="single"/>
        </w:rPr>
        <w:t xml:space="preserve"> </w:t>
      </w:r>
      <w:r>
        <w:rPr>
          <w:rFonts w:hint="eastAsia"/>
          <w:color w:val="auto"/>
          <w:sz w:val="24"/>
          <w:szCs w:val="24"/>
          <w:u w:val="single"/>
          <w:lang w:val="en-US" w:eastAsia="zh-CN"/>
        </w:rPr>
        <w:t xml:space="preserve">0 </w:t>
      </w:r>
      <w:r>
        <w:rPr>
          <w:rFonts w:hint="eastAsia"/>
          <w:color w:val="auto"/>
          <w:sz w:val="24"/>
          <w:szCs w:val="24"/>
        </w:rPr>
        <w:t>元，售后不退。</w:t>
      </w:r>
    </w:p>
    <w:p>
      <w:pPr>
        <w:pStyle w:val="3"/>
        <w:spacing w:before="0" w:after="0" w:line="360" w:lineRule="auto"/>
        <w:rPr>
          <w:rFonts w:ascii="宋体" w:hAnsi="宋体" w:eastAsia="宋体" w:cs="宋体"/>
          <w:bCs/>
          <w:color w:val="auto"/>
          <w:kern w:val="44"/>
          <w:sz w:val="28"/>
          <w:szCs w:val="28"/>
          <w:lang w:eastAsia="zh-CN"/>
        </w:rPr>
      </w:pPr>
      <w:bookmarkStart w:id="21" w:name="_Toc19659"/>
      <w:bookmarkStart w:id="22" w:name="_Toc25141"/>
      <w:bookmarkStart w:id="23" w:name="_Toc27049"/>
      <w:r>
        <w:rPr>
          <w:rFonts w:hint="eastAsia" w:ascii="宋体" w:hAnsi="宋体" w:eastAsia="宋体" w:cs="宋体"/>
          <w:bCs/>
          <w:color w:val="auto"/>
          <w:kern w:val="44"/>
          <w:sz w:val="28"/>
          <w:szCs w:val="28"/>
          <w:lang w:eastAsia="zh-CN"/>
        </w:rPr>
        <w:t>5 响应文件的递交</w:t>
      </w:r>
      <w:bookmarkEnd w:id="21"/>
      <w:bookmarkEnd w:id="22"/>
      <w:bookmarkEnd w:id="23"/>
    </w:p>
    <w:p>
      <w:pPr>
        <w:pStyle w:val="27"/>
        <w:tabs>
          <w:tab w:val="left" w:pos="4925"/>
          <w:tab w:val="left" w:pos="6206"/>
          <w:tab w:val="left" w:pos="7493"/>
          <w:tab w:val="left" w:pos="8789"/>
        </w:tabs>
        <w:spacing w:line="360" w:lineRule="auto"/>
        <w:ind w:firstLine="0"/>
        <w:rPr>
          <w:color w:val="auto"/>
          <w:sz w:val="24"/>
          <w:szCs w:val="24"/>
          <w:lang w:val="en-US" w:eastAsia="zh-CN"/>
        </w:rPr>
      </w:pPr>
      <w:r>
        <w:rPr>
          <w:rFonts w:hint="eastAsia"/>
          <w:b/>
          <w:bCs/>
          <w:color w:val="auto"/>
          <w:sz w:val="24"/>
          <w:szCs w:val="24"/>
          <w:lang w:val="en-US" w:eastAsia="zh-CN" w:bidi="en-US"/>
        </w:rPr>
        <w:t xml:space="preserve">5.1 </w:t>
      </w:r>
      <w:r>
        <w:rPr>
          <w:rFonts w:hint="eastAsia"/>
          <w:color w:val="auto"/>
          <w:sz w:val="24"/>
          <w:szCs w:val="24"/>
        </w:rPr>
        <w:t>响应文件递交的截止时间为</w:t>
      </w:r>
      <w:r>
        <w:rPr>
          <w:rFonts w:hint="eastAsia"/>
          <w:color w:val="auto"/>
          <w:sz w:val="24"/>
          <w:szCs w:val="24"/>
          <w:u w:val="single"/>
          <w:lang w:val="en-US" w:eastAsia="zh-CN"/>
        </w:rPr>
        <w:t>2024</w:t>
      </w:r>
      <w:r>
        <w:rPr>
          <w:rFonts w:hint="eastAsia"/>
          <w:color w:val="auto"/>
          <w:sz w:val="24"/>
          <w:szCs w:val="24"/>
        </w:rPr>
        <w:t>年</w:t>
      </w:r>
      <w:r>
        <w:rPr>
          <w:rFonts w:hint="eastAsia"/>
          <w:color w:val="auto"/>
          <w:sz w:val="24"/>
          <w:szCs w:val="24"/>
          <w:u w:val="single"/>
          <w:lang w:val="en-US" w:eastAsia="zh-CN"/>
        </w:rPr>
        <w:t>5</w:t>
      </w:r>
      <w:r>
        <w:rPr>
          <w:rFonts w:hint="eastAsia"/>
          <w:color w:val="auto"/>
          <w:sz w:val="24"/>
          <w:szCs w:val="24"/>
        </w:rPr>
        <w:t>月</w:t>
      </w:r>
      <w:r>
        <w:rPr>
          <w:rFonts w:hint="eastAsia"/>
          <w:color w:val="auto"/>
          <w:sz w:val="24"/>
          <w:szCs w:val="24"/>
          <w:u w:val="single"/>
          <w:lang w:val="en-US" w:eastAsia="zh-CN"/>
        </w:rPr>
        <w:t xml:space="preserve"> 31 </w:t>
      </w:r>
      <w:r>
        <w:rPr>
          <w:rFonts w:hint="eastAsia"/>
          <w:color w:val="auto"/>
          <w:sz w:val="24"/>
          <w:szCs w:val="24"/>
        </w:rPr>
        <w:t>日</w:t>
      </w:r>
      <w:r>
        <w:rPr>
          <w:rFonts w:hint="eastAsia"/>
          <w:color w:val="auto"/>
          <w:sz w:val="24"/>
          <w:szCs w:val="24"/>
          <w:u w:val="single"/>
          <w:lang w:val="en-US" w:eastAsia="zh-CN"/>
        </w:rPr>
        <w:t xml:space="preserve"> 15 </w:t>
      </w:r>
      <w:r>
        <w:rPr>
          <w:rFonts w:hint="eastAsia"/>
          <w:color w:val="auto"/>
          <w:sz w:val="24"/>
          <w:szCs w:val="24"/>
        </w:rPr>
        <w:t>时</w:t>
      </w:r>
      <w:r>
        <w:rPr>
          <w:rFonts w:hint="eastAsia"/>
          <w:color w:val="auto"/>
          <w:sz w:val="24"/>
          <w:szCs w:val="24"/>
          <w:u w:val="single"/>
          <w:lang w:val="en-US" w:eastAsia="zh-CN"/>
        </w:rPr>
        <w:t xml:space="preserve"> 00 </w:t>
      </w:r>
      <w:r>
        <w:rPr>
          <w:rFonts w:hint="eastAsia"/>
          <w:color w:val="auto"/>
          <w:sz w:val="24"/>
          <w:szCs w:val="24"/>
        </w:rPr>
        <w:t>分，地</w:t>
      </w:r>
      <w:r>
        <w:rPr>
          <w:rFonts w:hint="eastAsia"/>
          <w:color w:val="auto"/>
          <w:sz w:val="24"/>
          <w:szCs w:val="24"/>
          <w:lang w:eastAsia="zh-CN"/>
        </w:rPr>
        <w:t>点</w:t>
      </w:r>
      <w:r>
        <w:rPr>
          <w:rFonts w:hint="eastAsia"/>
          <w:color w:val="auto"/>
          <w:sz w:val="24"/>
          <w:szCs w:val="24"/>
        </w:rPr>
        <w:t>为</w:t>
      </w:r>
      <w:r>
        <w:rPr>
          <w:rFonts w:hint="eastAsia"/>
          <w:color w:val="auto"/>
          <w:sz w:val="24"/>
          <w:szCs w:val="24"/>
          <w:u w:val="single"/>
          <w:shd w:val="clear" w:color="auto" w:fill="auto"/>
        </w:rPr>
        <w:t>南平市浦城县梦笔大道316号3幢浦城县行政服务中</w:t>
      </w:r>
      <w:r>
        <w:rPr>
          <w:rFonts w:hint="eastAsia" w:ascii="宋体" w:hAnsi="宋体" w:eastAsia="宋体" w:cs="宋体"/>
          <w:color w:val="auto"/>
          <w:sz w:val="24"/>
          <w:szCs w:val="24"/>
          <w:u w:val="single"/>
          <w:shd w:val="clear" w:color="auto" w:fill="auto"/>
        </w:rPr>
        <w:t>心四层</w:t>
      </w:r>
      <w:r>
        <w:rPr>
          <w:rFonts w:hint="eastAsia" w:ascii="宋体" w:hAnsi="宋体" w:eastAsia="宋体" w:cs="宋体"/>
          <w:color w:val="auto"/>
          <w:sz w:val="24"/>
          <w:szCs w:val="24"/>
          <w:u w:val="single"/>
          <w:shd w:val="clear" w:color="auto" w:fill="auto"/>
          <w:lang w:val="en-US" w:eastAsia="zh-CN"/>
        </w:rPr>
        <w:t>开标室</w:t>
      </w:r>
      <w:r>
        <w:rPr>
          <w:rFonts w:hint="eastAsia"/>
          <w:color w:val="auto"/>
          <w:sz w:val="24"/>
          <w:szCs w:val="24"/>
          <w:lang w:val="en-US" w:eastAsia="zh-CN"/>
        </w:rPr>
        <w:t>。</w:t>
      </w:r>
    </w:p>
    <w:p>
      <w:pPr>
        <w:pStyle w:val="27"/>
        <w:spacing w:line="360" w:lineRule="auto"/>
        <w:ind w:firstLine="0"/>
        <w:rPr>
          <w:color w:val="auto"/>
          <w:sz w:val="24"/>
          <w:szCs w:val="24"/>
        </w:rPr>
      </w:pPr>
      <w:r>
        <w:rPr>
          <w:rFonts w:hint="eastAsia"/>
          <w:b/>
          <w:bCs/>
          <w:color w:val="auto"/>
          <w:sz w:val="24"/>
          <w:szCs w:val="24"/>
          <w:lang w:val="en-US" w:eastAsia="zh-CN" w:bidi="en-US"/>
        </w:rPr>
        <w:t xml:space="preserve">5.2 </w:t>
      </w:r>
      <w:r>
        <w:rPr>
          <w:rFonts w:hint="eastAsia"/>
          <w:color w:val="auto"/>
          <w:sz w:val="24"/>
          <w:szCs w:val="24"/>
        </w:rPr>
        <w:t>逾期送达的、未送达指定地点的</w:t>
      </w:r>
      <w:r>
        <w:rPr>
          <w:rFonts w:hint="eastAsia"/>
          <w:color w:val="auto"/>
          <w:sz w:val="24"/>
          <w:szCs w:val="24"/>
          <w:lang w:eastAsia="zh-CN"/>
        </w:rPr>
        <w:t>或未密封的</w:t>
      </w:r>
      <w:r>
        <w:rPr>
          <w:rFonts w:hint="eastAsia"/>
          <w:color w:val="auto"/>
          <w:sz w:val="24"/>
          <w:szCs w:val="24"/>
        </w:rPr>
        <w:t>响应文件，采购人将拒绝接收。</w:t>
      </w:r>
    </w:p>
    <w:p>
      <w:pPr>
        <w:pStyle w:val="3"/>
        <w:spacing w:before="0" w:after="0" w:line="360" w:lineRule="auto"/>
        <w:rPr>
          <w:rFonts w:ascii="宋体" w:hAnsi="宋体" w:eastAsia="宋体" w:cs="宋体"/>
          <w:bCs/>
          <w:color w:val="auto"/>
          <w:kern w:val="44"/>
          <w:sz w:val="28"/>
          <w:szCs w:val="28"/>
          <w:lang w:eastAsia="zh-CN"/>
        </w:rPr>
      </w:pPr>
      <w:bookmarkStart w:id="24" w:name="_Toc7898"/>
      <w:bookmarkStart w:id="25" w:name="_Toc4941"/>
      <w:bookmarkStart w:id="26" w:name="_Toc15259"/>
      <w:r>
        <w:rPr>
          <w:rFonts w:hint="eastAsia" w:ascii="宋体" w:hAnsi="宋体" w:eastAsia="宋体" w:cs="宋体"/>
          <w:bCs/>
          <w:color w:val="auto"/>
          <w:kern w:val="44"/>
          <w:sz w:val="28"/>
          <w:szCs w:val="28"/>
          <w:lang w:eastAsia="zh-CN"/>
        </w:rPr>
        <w:t xml:space="preserve">6 </w:t>
      </w:r>
      <w:bookmarkEnd w:id="24"/>
      <w:r>
        <w:rPr>
          <w:rFonts w:hint="eastAsia" w:ascii="宋体" w:hAnsi="宋体" w:eastAsia="宋体" w:cs="宋体"/>
          <w:bCs/>
          <w:color w:val="auto"/>
          <w:kern w:val="44"/>
          <w:sz w:val="28"/>
          <w:szCs w:val="28"/>
          <w:lang w:eastAsia="zh-CN"/>
        </w:rPr>
        <w:t>响应文件开启时间和地点</w:t>
      </w:r>
      <w:bookmarkEnd w:id="25"/>
      <w:bookmarkEnd w:id="26"/>
    </w:p>
    <w:p>
      <w:pPr>
        <w:pStyle w:val="27"/>
        <w:tabs>
          <w:tab w:val="left" w:pos="965"/>
          <w:tab w:val="left" w:pos="2150"/>
          <w:tab w:val="left" w:pos="3350"/>
          <w:tab w:val="left" w:pos="4565"/>
          <w:tab w:val="left" w:pos="5510"/>
          <w:tab w:val="left" w:pos="5784"/>
        </w:tabs>
        <w:spacing w:line="360" w:lineRule="auto"/>
        <w:ind w:firstLine="480" w:firstLineChars="200"/>
        <w:rPr>
          <w:color w:val="auto"/>
          <w:sz w:val="24"/>
          <w:szCs w:val="24"/>
          <w:lang w:val="en-US" w:eastAsia="zh-CN"/>
        </w:rPr>
      </w:pPr>
      <w:bookmarkStart w:id="27" w:name="_Toc12793"/>
      <w:r>
        <w:rPr>
          <w:rFonts w:hint="eastAsia"/>
          <w:color w:val="auto"/>
          <w:sz w:val="24"/>
          <w:szCs w:val="24"/>
        </w:rPr>
        <w:t>响应文件</w:t>
      </w:r>
      <w:r>
        <w:rPr>
          <w:rFonts w:hint="eastAsia"/>
          <w:color w:val="auto"/>
          <w:sz w:val="24"/>
          <w:szCs w:val="24"/>
          <w:lang w:eastAsia="zh-CN"/>
        </w:rPr>
        <w:t>开启在响应文件递交截止时间的同一时间进行，地点为响应文件递交地点。邀请所有供应商的法定代表人（单位负责人）或其授权的代理人参加开启会议，供应商未派代表参加开启会议的，视为默认开启结果。由授权代理人参加开启会议的，代理人须手持授权委托书原件到场。</w:t>
      </w:r>
    </w:p>
    <w:p>
      <w:pPr>
        <w:pStyle w:val="3"/>
        <w:spacing w:before="0" w:after="0" w:line="360" w:lineRule="auto"/>
        <w:rPr>
          <w:rFonts w:ascii="宋体" w:hAnsi="宋体" w:eastAsia="宋体" w:cs="宋体"/>
          <w:bCs/>
          <w:color w:val="auto"/>
          <w:kern w:val="44"/>
          <w:sz w:val="28"/>
          <w:szCs w:val="28"/>
          <w:lang w:eastAsia="zh-CN"/>
        </w:rPr>
      </w:pPr>
      <w:bookmarkStart w:id="28" w:name="_Toc12987"/>
      <w:bookmarkStart w:id="29" w:name="_Toc13027"/>
      <w:r>
        <w:rPr>
          <w:rFonts w:hint="eastAsia" w:ascii="宋体" w:hAnsi="宋体" w:eastAsia="宋体" w:cs="宋体"/>
          <w:bCs/>
          <w:color w:val="auto"/>
          <w:kern w:val="44"/>
          <w:sz w:val="28"/>
          <w:szCs w:val="28"/>
          <w:lang w:eastAsia="zh-CN"/>
        </w:rPr>
        <w:t>7 确认</w:t>
      </w:r>
      <w:bookmarkEnd w:id="27"/>
      <w:bookmarkEnd w:id="28"/>
      <w:bookmarkEnd w:id="29"/>
    </w:p>
    <w:p>
      <w:pPr>
        <w:pStyle w:val="27"/>
        <w:tabs>
          <w:tab w:val="left" w:pos="4105"/>
        </w:tabs>
        <w:spacing w:line="360" w:lineRule="auto"/>
        <w:ind w:firstLine="480" w:firstLineChars="200"/>
        <w:rPr>
          <w:color w:val="auto"/>
          <w:sz w:val="24"/>
          <w:szCs w:val="24"/>
          <w:lang w:val="en-US" w:eastAsia="zh-CN"/>
        </w:rPr>
      </w:pPr>
      <w:bookmarkStart w:id="30" w:name="_Toc28191"/>
      <w:bookmarkStart w:id="31" w:name="_Toc2599"/>
      <w:r>
        <w:rPr>
          <w:rFonts w:hint="eastAsia"/>
          <w:color w:val="auto"/>
          <w:sz w:val="24"/>
          <w:szCs w:val="24"/>
          <w:lang w:eastAsia="zh-CN"/>
        </w:rPr>
        <w:t>你单位收到本邀请书后，请于</w:t>
      </w:r>
      <w:r>
        <w:rPr>
          <w:rFonts w:hint="eastAsia"/>
          <w:color w:val="auto"/>
          <w:sz w:val="24"/>
          <w:szCs w:val="24"/>
          <w:u w:val="single"/>
          <w:lang w:val="en-US" w:eastAsia="zh-CN"/>
        </w:rPr>
        <w:t>2024</w:t>
      </w:r>
      <w:r>
        <w:rPr>
          <w:rFonts w:hint="eastAsia"/>
          <w:color w:val="auto"/>
          <w:sz w:val="24"/>
          <w:szCs w:val="24"/>
          <w:lang w:val="en-US" w:eastAsia="zh-CN"/>
        </w:rPr>
        <w:t>年</w:t>
      </w:r>
      <w:r>
        <w:rPr>
          <w:rFonts w:hint="eastAsia"/>
          <w:color w:val="auto"/>
          <w:sz w:val="24"/>
          <w:szCs w:val="24"/>
          <w:u w:val="single"/>
          <w:lang w:val="en-US" w:eastAsia="zh-CN"/>
        </w:rPr>
        <w:t>05</w:t>
      </w:r>
      <w:r>
        <w:rPr>
          <w:rFonts w:hint="eastAsia"/>
          <w:color w:val="auto"/>
          <w:sz w:val="24"/>
          <w:szCs w:val="24"/>
          <w:lang w:val="en-US" w:eastAsia="zh-CN"/>
        </w:rPr>
        <w:t>月</w:t>
      </w:r>
      <w:r>
        <w:rPr>
          <w:rFonts w:hint="eastAsia"/>
          <w:color w:val="auto"/>
          <w:sz w:val="24"/>
          <w:szCs w:val="24"/>
          <w:u w:val="single"/>
          <w:lang w:val="en-US" w:eastAsia="zh-CN"/>
        </w:rPr>
        <w:t xml:space="preserve"> 27 </w:t>
      </w:r>
      <w:r>
        <w:rPr>
          <w:rFonts w:hint="eastAsia"/>
          <w:color w:val="auto"/>
          <w:sz w:val="24"/>
          <w:szCs w:val="24"/>
          <w:lang w:val="en-US" w:eastAsia="zh-CN"/>
        </w:rPr>
        <w:t>日</w:t>
      </w:r>
      <w:r>
        <w:rPr>
          <w:rFonts w:hint="eastAsia"/>
          <w:color w:val="auto"/>
          <w:sz w:val="24"/>
          <w:szCs w:val="24"/>
          <w:u w:val="single"/>
          <w:lang w:val="en-US" w:eastAsia="zh-CN"/>
        </w:rPr>
        <w:t xml:space="preserve"> 17 </w:t>
      </w:r>
      <w:r>
        <w:rPr>
          <w:rFonts w:hint="eastAsia"/>
          <w:color w:val="auto"/>
          <w:sz w:val="24"/>
          <w:szCs w:val="24"/>
          <w:lang w:val="en-US" w:eastAsia="zh-CN"/>
        </w:rPr>
        <w:t>时</w:t>
      </w:r>
      <w:r>
        <w:rPr>
          <w:rFonts w:hint="eastAsia"/>
          <w:color w:val="auto"/>
          <w:sz w:val="24"/>
          <w:szCs w:val="24"/>
          <w:u w:val="single"/>
          <w:lang w:val="en-US" w:eastAsia="zh-CN"/>
        </w:rPr>
        <w:t xml:space="preserve"> 30 </w:t>
      </w:r>
      <w:r>
        <w:rPr>
          <w:rFonts w:hint="eastAsia"/>
          <w:color w:val="auto"/>
          <w:sz w:val="24"/>
          <w:szCs w:val="24"/>
        </w:rPr>
        <w:t>分</w:t>
      </w:r>
      <w:r>
        <w:rPr>
          <w:rFonts w:hint="eastAsia"/>
          <w:color w:val="auto"/>
          <w:sz w:val="24"/>
          <w:szCs w:val="24"/>
          <w:lang w:val="en-US" w:eastAsia="zh-CN"/>
        </w:rPr>
        <w:t>前，以书面形式确认是否参加询比采购活动</w:t>
      </w:r>
      <w:r>
        <w:rPr>
          <w:rFonts w:hint="eastAsia"/>
          <w:color w:val="auto"/>
          <w:sz w:val="24"/>
          <w:szCs w:val="24"/>
        </w:rPr>
        <w:t>。</w:t>
      </w:r>
      <w:r>
        <w:rPr>
          <w:rFonts w:hint="eastAsia"/>
          <w:color w:val="auto"/>
          <w:sz w:val="24"/>
          <w:szCs w:val="24"/>
          <w:lang w:eastAsia="zh-CN"/>
        </w:rPr>
        <w:t>在本邀请书规定的时间内未表示是否参加询比采购活动或明确表示不参加的，不得再参加询比采购活动。</w:t>
      </w:r>
    </w:p>
    <w:bookmarkEnd w:id="30"/>
    <w:bookmarkEnd w:id="31"/>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32" w:name="_Toc14588"/>
      <w:r>
        <w:rPr>
          <w:rFonts w:hint="eastAsia" w:ascii="宋体" w:hAnsi="宋体" w:eastAsia="宋体" w:cs="宋体"/>
          <w:bCs/>
          <w:color w:val="auto"/>
          <w:kern w:val="44"/>
          <w:sz w:val="28"/>
          <w:szCs w:val="28"/>
          <w:lang w:val="en-US" w:eastAsia="zh-CN"/>
        </w:rPr>
        <w:t>8</w:t>
      </w:r>
      <w:r>
        <w:rPr>
          <w:rFonts w:hint="eastAsia" w:ascii="宋体" w:hAnsi="宋体" w:eastAsia="宋体" w:cs="宋体"/>
          <w:bCs/>
          <w:color w:val="auto"/>
          <w:kern w:val="44"/>
          <w:sz w:val="28"/>
          <w:szCs w:val="28"/>
          <w:lang w:eastAsia="zh-CN"/>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其他</w:t>
      </w:r>
      <w:bookmarkEnd w:id="32"/>
    </w:p>
    <w:p>
      <w:pPr>
        <w:pStyle w:val="28"/>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157" w:afterLines="50" w:line="360" w:lineRule="auto"/>
        <w:ind w:left="0" w:leftChars="0" w:right="0" w:firstLine="0" w:firstLineChars="0"/>
        <w:jc w:val="left"/>
        <w:textAlignment w:val="auto"/>
        <w:rPr>
          <w:rFonts w:hint="default" w:ascii="宋体" w:hAnsi="宋体" w:eastAsia="宋体" w:cs="宋体"/>
          <w:color w:val="auto"/>
          <w:sz w:val="24"/>
          <w:szCs w:val="24"/>
          <w:u w:val="none"/>
          <w:lang w:val="en-US" w:eastAsia="zh-CN"/>
        </w:rPr>
      </w:pPr>
      <w:r>
        <w:rPr>
          <w:rFonts w:hint="eastAsia" w:ascii="宋体" w:hAnsi="宋体" w:eastAsia="宋体" w:cs="宋体"/>
          <w:b/>
          <w:bCs/>
          <w:color w:val="auto"/>
          <w:spacing w:val="0"/>
          <w:w w:val="100"/>
          <w:position w:val="0"/>
          <w:sz w:val="24"/>
          <w:szCs w:val="24"/>
          <w:u w:val="none"/>
          <w:shd w:val="clear" w:color="auto" w:fill="auto"/>
          <w:lang w:val="en-US" w:eastAsia="zh-CN" w:bidi="en-US"/>
        </w:rPr>
        <w:t xml:space="preserve">8.1 </w:t>
      </w:r>
      <w:r>
        <w:rPr>
          <w:rFonts w:hint="eastAsia" w:ascii="宋体" w:hAnsi="宋体" w:eastAsia="宋体" w:cs="宋体"/>
          <w:color w:val="auto"/>
          <w:sz w:val="24"/>
          <w:szCs w:val="24"/>
          <w:u w:val="none"/>
          <w:lang w:val="en-US" w:eastAsia="zh-CN"/>
        </w:rPr>
        <w:t>本项目采用的评审办法：</w:t>
      </w:r>
      <w:r>
        <w:rPr>
          <w:rFonts w:hint="eastAsia" w:ascii="宋体" w:hAnsi="宋体" w:eastAsia="宋体" w:cs="宋体"/>
          <w:color w:val="auto"/>
          <w:sz w:val="24"/>
          <w:szCs w:val="24"/>
          <w:u w:val="single"/>
          <w:lang w:val="en-US" w:eastAsia="zh-CN"/>
        </w:rPr>
        <w:t>最低价法（采用两轮报价）</w:t>
      </w:r>
      <w:r>
        <w:rPr>
          <w:rFonts w:hint="eastAsia" w:ascii="宋体" w:hAnsi="宋体" w:eastAsia="宋体" w:cs="宋体"/>
          <w:color w:val="auto"/>
          <w:sz w:val="24"/>
          <w:szCs w:val="24"/>
          <w:u w:val="none"/>
          <w:lang w:val="en-US" w:eastAsia="zh-CN"/>
        </w:rPr>
        <w:t xml:space="preserve">。 </w:t>
      </w:r>
    </w:p>
    <w:p>
      <w:pPr>
        <w:pStyle w:val="28"/>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157" w:afterLines="50"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val="en-US" w:eastAsia="zh-CN"/>
        </w:rPr>
      </w:pPr>
      <w:bookmarkStart w:id="33" w:name="_Toc1198"/>
      <w:r>
        <w:rPr>
          <w:rFonts w:hint="eastAsia" w:ascii="宋体" w:hAnsi="宋体" w:eastAsia="宋体" w:cs="宋体"/>
          <w:color w:val="auto"/>
          <w:sz w:val="24"/>
          <w:szCs w:val="24"/>
          <w:highlight w:val="none"/>
          <w:u w:val="none"/>
          <w:lang w:val="en-US" w:eastAsia="zh-CN"/>
        </w:rPr>
        <w:t>8.1.1供应商根据采购文件要求在指定地点（详见本章5.1条款）递交响应文件，由评审小组对供应商响应文件的资格及符合性进行审查，审查通过的供应商在开启会议</w:t>
      </w:r>
      <w:r>
        <w:rPr>
          <w:rFonts w:hint="eastAsia" w:ascii="宋体" w:hAnsi="宋体" w:eastAsia="宋体" w:cs="宋体"/>
          <w:color w:val="auto"/>
          <w:sz w:val="24"/>
          <w:szCs w:val="24"/>
          <w:highlight w:val="none"/>
          <w:u w:val="none"/>
          <w:shd w:val="clear" w:color="auto" w:fill="auto"/>
          <w:lang w:val="en-US" w:eastAsia="zh-CN"/>
        </w:rPr>
        <w:t>现场</w:t>
      </w:r>
      <w:r>
        <w:rPr>
          <w:rFonts w:hint="eastAsia" w:ascii="宋体" w:hAnsi="宋体" w:eastAsia="宋体" w:cs="宋体"/>
          <w:color w:val="auto"/>
          <w:sz w:val="24"/>
          <w:szCs w:val="24"/>
          <w:highlight w:val="none"/>
          <w:u w:val="none"/>
          <w:lang w:val="en-US" w:eastAsia="zh-CN"/>
        </w:rPr>
        <w:t>填写并提交二次报价（最终报价），评审小组对供应商的二次报价（最终报价）进行比较后，按照评审价格由低到高的顺序对供应商排序，并按照采购文件规定的数量推荐候选成交供应商。</w:t>
      </w:r>
    </w:p>
    <w:p>
      <w:pPr>
        <w:pStyle w:val="28"/>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157" w:afterLines="50" w:line="360" w:lineRule="auto"/>
        <w:ind w:right="0" w:rightChars="0"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en-US"/>
        </w:rPr>
        <w:t>8.1.2</w:t>
      </w:r>
      <w:r>
        <w:rPr>
          <w:rFonts w:hint="eastAsia" w:ascii="宋体" w:hAnsi="宋体" w:eastAsia="宋体" w:cs="宋体"/>
          <w:i w:val="0"/>
          <w:iCs w:val="0"/>
          <w:color w:val="auto"/>
          <w:sz w:val="24"/>
          <w:szCs w:val="24"/>
          <w:highlight w:val="none"/>
          <w:u w:val="none"/>
          <w:lang w:val="en-US" w:eastAsia="zh-CN"/>
        </w:rPr>
        <w:t>“二次报价（最终报价）表”由代理机构在开启会议现场提供。</w:t>
      </w:r>
    </w:p>
    <w:p>
      <w:pPr>
        <w:pStyle w:val="28"/>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157" w:afterLines="50" w:line="360" w:lineRule="auto"/>
        <w:ind w:right="0" w:rightChars="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b/>
          <w:bCs/>
          <w:color w:val="auto"/>
          <w:spacing w:val="0"/>
          <w:w w:val="100"/>
          <w:position w:val="0"/>
          <w:sz w:val="24"/>
          <w:szCs w:val="24"/>
          <w:u w:val="none"/>
          <w:shd w:val="clear" w:color="auto" w:fill="auto"/>
          <w:lang w:val="en-US" w:eastAsia="zh-CN" w:bidi="en-US"/>
        </w:rPr>
        <w:t xml:space="preserve">8.2 </w:t>
      </w:r>
      <w:r>
        <w:rPr>
          <w:rFonts w:hint="eastAsia" w:ascii="宋体" w:hAnsi="宋体" w:eastAsia="宋体" w:cs="宋体"/>
          <w:color w:val="auto"/>
          <w:sz w:val="24"/>
          <w:szCs w:val="24"/>
          <w:u w:val="none"/>
          <w:lang w:val="en-US" w:eastAsia="zh-CN"/>
        </w:rPr>
        <w:t>响应保证金的提交：</w:t>
      </w:r>
    </w:p>
    <w:p>
      <w:pPr>
        <w:pStyle w:val="28"/>
        <w:pageBreakBefore w:val="0"/>
        <w:widowControl w:val="0"/>
        <w:tabs>
          <w:tab w:val="left" w:pos="7360"/>
        </w:tabs>
        <w:kinsoku/>
        <w:wordWrap/>
        <w:overflowPunct/>
        <w:topLinePunct w:val="0"/>
        <w:autoSpaceDE/>
        <w:autoSpaceDN/>
        <w:bidi w:val="0"/>
        <w:adjustRightInd/>
        <w:snapToGrid w:val="0"/>
        <w:spacing w:after="0" w:line="360" w:lineRule="auto"/>
        <w:ind w:left="0"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.1 保证金提交的截止时间：</w:t>
      </w:r>
      <w:r>
        <w:rPr>
          <w:rFonts w:hint="eastAsia" w:ascii="宋体" w:hAnsi="宋体" w:eastAsia="宋体" w:cs="宋体"/>
          <w:sz w:val="24"/>
          <w:szCs w:val="24"/>
          <w:u w:val="single"/>
          <w:lang w:eastAsia="zh-CN"/>
        </w:rPr>
        <w:t>响应文件递交截止时间前一个工作日16:00:00前。</w:t>
      </w:r>
    </w:p>
    <w:p>
      <w:pPr>
        <w:pStyle w:val="28"/>
        <w:pageBreakBefore w:val="0"/>
        <w:widowControl w:val="0"/>
        <w:tabs>
          <w:tab w:val="left" w:pos="7360"/>
        </w:tabs>
        <w:kinsoku/>
        <w:wordWrap/>
        <w:overflowPunct/>
        <w:topLinePunct w:val="0"/>
        <w:autoSpaceDE/>
        <w:autoSpaceDN/>
        <w:bidi w:val="0"/>
        <w:adjustRightInd/>
        <w:snapToGrid w:val="0"/>
        <w:spacing w:after="0" w:line="360" w:lineRule="auto"/>
        <w:ind w:left="0"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.2 保证金提交的金额：</w:t>
      </w:r>
      <w:r>
        <w:rPr>
          <w:rFonts w:hint="eastAsia" w:ascii="宋体" w:hAnsi="宋体" w:eastAsia="宋体" w:cs="宋体"/>
          <w:sz w:val="24"/>
          <w:szCs w:val="24"/>
          <w:u w:val="single"/>
          <w:lang w:val="en-US" w:eastAsia="zh-CN"/>
        </w:rPr>
        <w:t>捌仟</w:t>
      </w:r>
      <w:r>
        <w:rPr>
          <w:rFonts w:hint="eastAsia" w:ascii="宋体" w:hAnsi="宋体" w:eastAsia="宋体" w:cs="宋体"/>
          <w:sz w:val="24"/>
          <w:szCs w:val="24"/>
          <w:u w:val="single"/>
          <w:lang w:eastAsia="zh-CN"/>
        </w:rPr>
        <w:t>元整（¥</w:t>
      </w:r>
      <w:r>
        <w:rPr>
          <w:rFonts w:hint="eastAsia" w:ascii="宋体" w:hAnsi="宋体" w:eastAsia="宋体" w:cs="宋体"/>
          <w:sz w:val="24"/>
          <w:szCs w:val="24"/>
          <w:u w:val="single"/>
          <w:lang w:val="en-US" w:eastAsia="zh-CN"/>
        </w:rPr>
        <w:t>8000</w:t>
      </w:r>
      <w:r>
        <w:rPr>
          <w:rFonts w:hint="eastAsia" w:ascii="宋体" w:hAnsi="宋体" w:eastAsia="宋体" w:cs="宋体"/>
          <w:sz w:val="24"/>
          <w:szCs w:val="24"/>
          <w:u w:val="single"/>
          <w:lang w:eastAsia="zh-CN"/>
        </w:rPr>
        <w:t>元）。</w:t>
      </w:r>
    </w:p>
    <w:p>
      <w:pPr>
        <w:pStyle w:val="28"/>
        <w:keepNext w:val="0"/>
        <w:keepLines w:val="0"/>
        <w:pageBreakBefore w:val="0"/>
        <w:widowControl w:val="0"/>
        <w:shd w:val="clear" w:color="auto" w:fill="auto"/>
        <w:tabs>
          <w:tab w:val="left" w:pos="7360"/>
        </w:tabs>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.3 保证金的提交形式：</w:t>
      </w:r>
      <w:r>
        <w:rPr>
          <w:rFonts w:hint="eastAsia" w:ascii="宋体" w:hAnsi="宋体" w:eastAsia="宋体" w:cs="宋体"/>
          <w:sz w:val="24"/>
          <w:szCs w:val="24"/>
          <w:u w:val="single"/>
          <w:lang w:eastAsia="zh-CN"/>
        </w:rPr>
        <w:t>电汇或银行转账的形式。</w:t>
      </w:r>
    </w:p>
    <w:p>
      <w:pPr>
        <w:pStyle w:val="28"/>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157" w:afterLines="50" w:line="360" w:lineRule="auto"/>
        <w:ind w:right="0" w:rightChars="0"/>
        <w:jc w:val="both"/>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8.3</w:t>
      </w:r>
      <w:r>
        <w:rPr>
          <w:rFonts w:hint="eastAsia" w:ascii="宋体" w:hAnsi="宋体" w:eastAsia="宋体" w:cs="宋体"/>
          <w:i w:val="0"/>
          <w:iCs w:val="0"/>
          <w:color w:val="auto"/>
          <w:sz w:val="24"/>
          <w:szCs w:val="24"/>
          <w:highlight w:val="none"/>
          <w:u w:val="none"/>
          <w:lang w:val="en-US" w:eastAsia="zh-CN"/>
        </w:rPr>
        <w:t>发布公告的媒介：本次询比采购邀请书同时在中国招标投标公共服务平台（http://www.cebpubservice.com）、</w:t>
      </w:r>
      <w:r>
        <w:rPr>
          <w:rFonts w:hint="eastAsia" w:ascii="宋体" w:hAnsi="宋体" w:eastAsia="宋体" w:cs="宋体"/>
          <w:i w:val="0"/>
          <w:iCs w:val="0"/>
          <w:sz w:val="24"/>
          <w:szCs w:val="24"/>
          <w:highlight w:val="none"/>
          <w:u w:val="none"/>
          <w:lang w:val="en-US" w:eastAsia="zh-CN"/>
        </w:rPr>
        <w:t>南平市公共资源交易中心平台(http://ggzy.npgoy.cn/npztb/)、</w:t>
      </w:r>
      <w:r>
        <w:rPr>
          <w:rFonts w:hint="eastAsia" w:ascii="宋体" w:hAnsi="宋体" w:eastAsia="宋体" w:cs="宋体"/>
          <w:i w:val="0"/>
          <w:iCs w:val="0"/>
          <w:color w:val="auto"/>
          <w:sz w:val="24"/>
          <w:szCs w:val="24"/>
          <w:highlight w:val="none"/>
          <w:u w:val="none"/>
          <w:lang w:val="en-US" w:eastAsia="zh-CN"/>
        </w:rPr>
        <w:t>福建省国资采购平台（https://ygcg.fjcqjy.com/）、随行易交易电子招标投标交易平台（https://www.enjoy5191.com）上发布。</w:t>
      </w:r>
    </w:p>
    <w:p>
      <w:pPr>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34" w:name="_Toc17037"/>
      <w:bookmarkStart w:id="35" w:name="_Toc340"/>
      <w:r>
        <w:rPr>
          <w:rFonts w:hint="eastAsia" w:ascii="宋体" w:hAnsi="宋体" w:eastAsia="宋体" w:cs="宋体"/>
          <w:b/>
          <w:bCs/>
          <w:color w:val="auto"/>
          <w:spacing w:val="0"/>
          <w:w w:val="100"/>
          <w:kern w:val="44"/>
          <w:position w:val="0"/>
          <w:sz w:val="28"/>
          <w:szCs w:val="28"/>
          <w:shd w:val="clear" w:color="auto" w:fill="auto"/>
          <w:lang w:val="en-US" w:eastAsia="en-US" w:bidi="en-US"/>
        </w:rPr>
        <w:t>9</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联系方式</w:t>
      </w:r>
      <w:bookmarkEnd w:id="33"/>
      <w:bookmarkEnd w:id="34"/>
      <w:bookmarkEnd w:id="35"/>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5520" w:leftChars="200" w:right="0" w:hanging="5040" w:hangingChars="2100"/>
        <w:jc w:val="left"/>
        <w:textAlignment w:val="auto"/>
        <w:rPr>
          <w:rFonts w:hint="eastAsia" w:cs="宋体"/>
          <w:color w:val="auto"/>
          <w:sz w:val="24"/>
          <w:szCs w:val="24"/>
          <w:u w:val="none"/>
          <w:lang w:val="en-US" w:eastAsia="zh-CN"/>
        </w:rPr>
      </w:pPr>
      <w:r>
        <w:rPr>
          <w:rFonts w:hint="eastAsia" w:ascii="宋体" w:hAnsi="宋体" w:eastAsia="宋体" w:cs="宋体"/>
          <w:color w:val="auto"/>
          <w:spacing w:val="0"/>
          <w:w w:val="100"/>
          <w:position w:val="0"/>
          <w:sz w:val="24"/>
          <w:szCs w:val="24"/>
        </w:rPr>
        <w:t>采购人：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浦城县交通工程建设开发有限公司</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none"/>
          <w:lang w:val="en-US" w:eastAsia="zh-CN"/>
        </w:rPr>
        <w:t xml:space="preserve">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5520" w:leftChars="200" w:right="0" w:hanging="5040" w:hangingChars="21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地</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址：</w:t>
      </w:r>
      <w:r>
        <w:rPr>
          <w:rFonts w:hint="eastAsia" w:ascii="宋体" w:hAnsi="宋体" w:eastAsia="宋体" w:cs="宋体"/>
          <w:color w:val="auto"/>
          <w:spacing w:val="0"/>
          <w:w w:val="100"/>
          <w:position w:val="0"/>
          <w:sz w:val="24"/>
          <w:szCs w:val="24"/>
          <w:u w:val="single"/>
          <w:lang w:val="en-US" w:eastAsia="zh-CN"/>
        </w:rPr>
        <w:t xml:space="preserve"> 浦城县五一三路639号大众大厦二楼</w:t>
      </w:r>
      <w:r>
        <w:rPr>
          <w:rFonts w:hint="eastAsia" w:cs="宋体"/>
          <w:color w:val="auto"/>
          <w:spacing w:val="0"/>
          <w:w w:val="100"/>
          <w:position w:val="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cs="宋体"/>
          <w:color w:val="auto"/>
          <w:spacing w:val="0"/>
          <w:w w:val="100"/>
          <w:position w:val="0"/>
          <w:sz w:val="24"/>
          <w:szCs w:val="24"/>
          <w:lang w:val="en-US" w:eastAsia="zh-CN"/>
        </w:rPr>
        <w:t xml:space="preserve"> </w:t>
      </w:r>
      <w:r>
        <w:rPr>
          <w:rFonts w:hint="eastAsia" w:cs="宋体"/>
          <w:color w:val="auto"/>
          <w:sz w:val="24"/>
          <w:szCs w:val="24"/>
          <w:u w:val="none"/>
          <w:lang w:val="en-US" w:eastAsia="zh-CN"/>
        </w:rPr>
        <w:t xml:space="preserve">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邮</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编：</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 xml:space="preserve">353400 </w:t>
      </w:r>
      <w:r>
        <w:rPr>
          <w:rFonts w:hint="eastAsia" w:cs="宋体"/>
          <w:color w:val="auto"/>
          <w:sz w:val="24"/>
          <w:szCs w:val="24"/>
          <w:u w:val="none"/>
          <w:lang w:val="en-US" w:eastAsia="zh-CN"/>
        </w:rPr>
        <w:t xml:space="preserve">       </w:t>
      </w:r>
      <w:r>
        <w:rPr>
          <w:rFonts w:hint="eastAsia" w:ascii="宋体" w:hAnsi="宋体" w:eastAsia="宋体" w:cs="宋体"/>
          <w:color w:val="auto"/>
          <w:spacing w:val="0"/>
          <w:w w:val="100"/>
          <w:position w:val="0"/>
          <w:sz w:val="24"/>
          <w:szCs w:val="24"/>
          <w:u w:val="none"/>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w:t>
      </w:r>
      <w:r>
        <w:rPr>
          <w:rFonts w:hint="eastAsia" w:cs="宋体"/>
          <w:color w:val="auto"/>
          <w:sz w:val="24"/>
          <w:szCs w:val="24"/>
          <w:u w:val="none"/>
          <w:lang w:val="en-US" w:eastAsia="zh-CN"/>
        </w:rPr>
        <w:t xml:space="preserve">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auto"/>
          <w:spacing w:val="0"/>
          <w:w w:val="100"/>
          <w:position w:val="0"/>
          <w:sz w:val="24"/>
          <w:szCs w:val="24"/>
          <w:lang w:val="en-US"/>
        </w:rPr>
      </w:pPr>
      <w:r>
        <w:rPr>
          <w:rFonts w:hint="eastAsia" w:ascii="宋体" w:hAnsi="宋体" w:eastAsia="宋体" w:cs="宋体"/>
          <w:color w:val="auto"/>
          <w:spacing w:val="0"/>
          <w:w w:val="100"/>
          <w:position w:val="0"/>
          <w:sz w:val="24"/>
          <w:szCs w:val="24"/>
        </w:rPr>
        <w:t>联系人：</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highlight w:val="none"/>
          <w:u w:val="single"/>
          <w:lang w:val="en-US" w:eastAsia="zh-CN"/>
        </w:rPr>
        <w:t xml:space="preserve">陈女士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u w:val="none"/>
          <w:lang w:val="en-US" w:eastAsia="zh-CN"/>
        </w:rPr>
      </w:pPr>
      <w:r>
        <w:rPr>
          <w:rFonts w:hint="eastAsia" w:ascii="宋体" w:hAnsi="宋体" w:eastAsia="宋体" w:cs="宋体"/>
          <w:color w:val="auto"/>
          <w:spacing w:val="0"/>
          <w:w w:val="100"/>
          <w:position w:val="0"/>
          <w:sz w:val="24"/>
          <w:szCs w:val="24"/>
        </w:rPr>
        <w:t xml:space="preserve">电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话：</w:t>
      </w:r>
      <w:r>
        <w:rPr>
          <w:rFonts w:hint="eastAsia" w:cs="宋体"/>
          <w:color w:val="auto"/>
          <w:sz w:val="24"/>
          <w:szCs w:val="24"/>
          <w:highlight w:val="none"/>
          <w:u w:val="single"/>
          <w:lang w:val="en-US" w:eastAsia="zh-CN"/>
        </w:rPr>
        <w:t xml:space="preserve"> 18750733646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cs="宋体"/>
          <w:color w:val="auto"/>
          <w:sz w:val="24"/>
          <w:szCs w:val="24"/>
          <w:u w:val="none"/>
          <w:lang w:val="en-US" w:eastAsia="zh-CN"/>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u w:val="none"/>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pacing w:val="0"/>
          <w:w w:val="100"/>
          <w:position w:val="0"/>
          <w:sz w:val="24"/>
          <w:szCs w:val="24"/>
          <w:u w:val="single"/>
          <w:lang w:val="en-US" w:eastAsia="zh-CN"/>
        </w:rPr>
      </w:pPr>
      <w:r>
        <w:rPr>
          <w:rFonts w:hint="eastAsia" w:ascii="宋体" w:hAnsi="宋体" w:eastAsia="宋体" w:cs="宋体"/>
          <w:color w:val="auto"/>
          <w:spacing w:val="0"/>
          <w:w w:val="100"/>
          <w:position w:val="0"/>
          <w:sz w:val="24"/>
          <w:szCs w:val="24"/>
        </w:rPr>
        <w:t>采购代理机构：</w:t>
      </w:r>
      <w:r>
        <w:rPr>
          <w:rFonts w:hint="eastAsia" w:cs="宋体"/>
          <w:color w:val="auto"/>
          <w:spacing w:val="0"/>
          <w:w w:val="100"/>
          <w:position w:val="0"/>
          <w:sz w:val="24"/>
          <w:szCs w:val="24"/>
          <w:u w:val="single"/>
          <w:lang w:val="en-US" w:eastAsia="zh-CN"/>
        </w:rPr>
        <w:t xml:space="preserve"> 浦城县浦宏工程咨询有限公司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pacing w:val="0"/>
          <w:w w:val="100"/>
          <w:position w:val="0"/>
          <w:sz w:val="24"/>
          <w:szCs w:val="24"/>
          <w:u w:val="single"/>
          <w:lang w:val="en-US" w:eastAsia="zh-CN"/>
        </w:rPr>
      </w:pPr>
      <w:r>
        <w:rPr>
          <w:rFonts w:hint="eastAsia" w:cs="宋体"/>
          <w:color w:val="auto"/>
          <w:spacing w:val="0"/>
          <w:w w:val="100"/>
          <w:position w:val="0"/>
          <w:sz w:val="24"/>
          <w:szCs w:val="24"/>
          <w:lang w:val="en-US" w:eastAsia="zh-CN"/>
        </w:rPr>
        <w:t>地  址：</w:t>
      </w:r>
      <w:r>
        <w:rPr>
          <w:rFonts w:hint="eastAsia" w:cs="宋体"/>
          <w:color w:val="auto"/>
          <w:spacing w:val="0"/>
          <w:w w:val="100"/>
          <w:position w:val="0"/>
          <w:sz w:val="24"/>
          <w:szCs w:val="24"/>
          <w:u w:val="single"/>
          <w:lang w:val="en-US" w:eastAsia="zh-CN"/>
        </w:rPr>
        <w:t xml:space="preserve"> 浦城县五一三路639号大众大厦三楼浦宏招标</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z w:val="24"/>
          <w:szCs w:val="24"/>
          <w:u w:val="none"/>
          <w:lang w:val="en-US" w:eastAsia="zh-CN"/>
        </w:rPr>
      </w:pPr>
      <w:r>
        <w:rPr>
          <w:rFonts w:hint="eastAsia" w:ascii="宋体" w:hAnsi="宋体" w:eastAsia="宋体" w:cs="宋体"/>
          <w:color w:val="auto"/>
          <w:spacing w:val="0"/>
          <w:w w:val="100"/>
          <w:position w:val="0"/>
          <w:sz w:val="24"/>
          <w:szCs w:val="24"/>
        </w:rPr>
        <w:t>邮</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编</w:t>
      </w:r>
      <w:r>
        <w:rPr>
          <w:rFonts w:hint="eastAsia" w:cs="宋体"/>
          <w:color w:val="auto"/>
          <w:sz w:val="24"/>
          <w:szCs w:val="24"/>
          <w:u w:val="none"/>
          <w:lang w:val="en-US" w:eastAsia="zh-CN"/>
        </w:rPr>
        <w:t>：</w:t>
      </w:r>
      <w:r>
        <w:rPr>
          <w:rFonts w:hint="eastAsia" w:cs="宋体"/>
          <w:color w:val="auto"/>
          <w:sz w:val="24"/>
          <w:szCs w:val="24"/>
          <w:u w:val="single"/>
          <w:lang w:val="en-US" w:eastAsia="zh-CN"/>
        </w:rPr>
        <w:t xml:space="preserve"> 353400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pacing w:val="0"/>
          <w:w w:val="100"/>
          <w:position w:val="0"/>
          <w:sz w:val="24"/>
          <w:szCs w:val="24"/>
          <w:u w:val="single"/>
          <w:lang w:val="en-US" w:eastAsia="zh-CN"/>
        </w:rPr>
      </w:pPr>
      <w:r>
        <w:rPr>
          <w:rFonts w:hint="eastAsia" w:cs="宋体"/>
          <w:color w:val="auto"/>
          <w:spacing w:val="0"/>
          <w:w w:val="100"/>
          <w:position w:val="0"/>
          <w:sz w:val="24"/>
          <w:szCs w:val="24"/>
          <w:lang w:val="en-US" w:eastAsia="zh-CN"/>
        </w:rPr>
        <w:t>联系人：</w:t>
      </w:r>
      <w:r>
        <w:rPr>
          <w:rFonts w:hint="eastAsia" w:cs="宋体"/>
          <w:color w:val="auto"/>
          <w:spacing w:val="0"/>
          <w:w w:val="100"/>
          <w:position w:val="0"/>
          <w:sz w:val="24"/>
          <w:szCs w:val="24"/>
          <w:u w:val="single"/>
          <w:lang w:val="en-US" w:eastAsia="zh-CN"/>
        </w:rPr>
        <w:t xml:space="preserve"> 小周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u w:val="single"/>
          <w:lang w:val="en-US" w:eastAsia="zh-CN"/>
        </w:rPr>
      </w:pPr>
      <w:r>
        <w:rPr>
          <w:rFonts w:hint="eastAsia" w:cs="宋体"/>
          <w:color w:val="auto"/>
          <w:spacing w:val="0"/>
          <w:w w:val="100"/>
          <w:position w:val="0"/>
          <w:sz w:val="24"/>
          <w:szCs w:val="24"/>
          <w:u w:val="none"/>
          <w:lang w:val="en-US" w:eastAsia="zh-CN"/>
        </w:rPr>
        <w:t>电  话：</w:t>
      </w:r>
      <w:r>
        <w:rPr>
          <w:rFonts w:hint="eastAsia" w:cs="宋体"/>
          <w:color w:val="auto"/>
          <w:spacing w:val="0"/>
          <w:w w:val="100"/>
          <w:position w:val="0"/>
          <w:sz w:val="24"/>
          <w:szCs w:val="24"/>
          <w:u w:val="single"/>
          <w:lang w:val="en-US" w:eastAsia="zh-CN"/>
        </w:rPr>
        <w:t xml:space="preserve"> 0599-6028215 </w:t>
      </w: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u w:val="single"/>
          <w:lang w:val="en-US" w:eastAsia="zh-CN"/>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eastAsia"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监督机构：</w:t>
      </w:r>
      <w:r>
        <w:rPr>
          <w:rFonts w:hint="default" w:ascii="宋体" w:hAnsi="宋体" w:eastAsia="宋体" w:cs="宋体"/>
          <w:color w:val="auto"/>
          <w:spacing w:val="0"/>
          <w:w w:val="100"/>
          <w:kern w:val="0"/>
          <w:position w:val="0"/>
          <w:sz w:val="24"/>
          <w:szCs w:val="24"/>
          <w:u w:val="single"/>
          <w:lang w:val="zh-TW" w:eastAsia="zh-TW" w:bidi="zh-TW"/>
        </w:rPr>
        <w:t>浦城县财政局国有资产管理股</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地</w:t>
      </w:r>
      <w:r>
        <w:rPr>
          <w:rFonts w:hint="eastAsia" w:cs="宋体"/>
          <w:color w:val="auto"/>
          <w:spacing w:val="0"/>
          <w:w w:val="100"/>
          <w:position w:val="0"/>
          <w:sz w:val="24"/>
          <w:szCs w:val="24"/>
          <w:lang w:val="en-US" w:eastAsia="zh-CN"/>
        </w:rPr>
        <w:t xml:space="preserve">  </w:t>
      </w:r>
      <w:r>
        <w:rPr>
          <w:rFonts w:hint="default" w:ascii="宋体" w:hAnsi="宋体" w:eastAsia="宋体" w:cs="宋体"/>
          <w:color w:val="auto"/>
          <w:spacing w:val="0"/>
          <w:w w:val="100"/>
          <w:kern w:val="0"/>
          <w:position w:val="0"/>
          <w:sz w:val="24"/>
          <w:szCs w:val="24"/>
          <w:lang w:val="zh-TW" w:eastAsia="zh-TW" w:bidi="zh-TW"/>
        </w:rPr>
        <w:t>址：</w:t>
      </w:r>
      <w:r>
        <w:rPr>
          <w:rFonts w:hint="default" w:ascii="宋体" w:hAnsi="宋体" w:eastAsia="宋体" w:cs="宋体"/>
          <w:color w:val="auto"/>
          <w:spacing w:val="0"/>
          <w:w w:val="100"/>
          <w:kern w:val="0"/>
          <w:position w:val="0"/>
          <w:sz w:val="24"/>
          <w:szCs w:val="24"/>
          <w:u w:val="single"/>
          <w:lang w:val="zh-TW" w:eastAsia="zh-TW" w:bidi="zh-TW"/>
        </w:rPr>
        <w:t> 浦城县五一三路179号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u w:val="none"/>
          <w:lang w:val="zh-TW" w:eastAsia="zh-TW" w:bidi="zh-TW"/>
        </w:rPr>
        <w:t>邮  箱：</w:t>
      </w:r>
      <w:r>
        <w:rPr>
          <w:rFonts w:hint="eastAsia" w:ascii="宋体" w:hAnsi="宋体" w:eastAsia="宋体" w:cs="宋体"/>
          <w:color w:val="auto"/>
          <w:spacing w:val="0"/>
          <w:w w:val="100"/>
          <w:kern w:val="0"/>
          <w:position w:val="0"/>
          <w:sz w:val="24"/>
          <w:szCs w:val="24"/>
          <w:u w:val="single"/>
          <w:lang w:val="en-US" w:eastAsia="zh-CN" w:bidi="zh-TW"/>
        </w:rPr>
        <w:t xml:space="preserve">  </w:t>
      </w:r>
      <w:r>
        <w:rPr>
          <w:rFonts w:hint="default" w:ascii="宋体" w:hAnsi="宋体" w:eastAsia="宋体" w:cs="宋体"/>
          <w:color w:val="auto"/>
          <w:spacing w:val="0"/>
          <w:w w:val="100"/>
          <w:kern w:val="0"/>
          <w:position w:val="0"/>
          <w:sz w:val="24"/>
          <w:szCs w:val="24"/>
          <w:u w:val="single"/>
          <w:lang w:val="zh-TW" w:eastAsia="zh-TW" w:bidi="zh-TW"/>
        </w:rPr>
        <w:t>339664793@qq.com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电</w:t>
      </w:r>
      <w:r>
        <w:rPr>
          <w:rFonts w:hint="eastAsia" w:cs="宋体"/>
          <w:color w:val="auto"/>
          <w:spacing w:val="0"/>
          <w:w w:val="100"/>
          <w:position w:val="0"/>
          <w:sz w:val="24"/>
          <w:szCs w:val="24"/>
          <w:lang w:val="en-US" w:eastAsia="zh-CN"/>
        </w:rPr>
        <w:t xml:space="preserve">  </w:t>
      </w:r>
      <w:r>
        <w:rPr>
          <w:rFonts w:hint="default" w:ascii="宋体" w:hAnsi="宋体" w:eastAsia="宋体" w:cs="宋体"/>
          <w:color w:val="auto"/>
          <w:spacing w:val="0"/>
          <w:w w:val="100"/>
          <w:kern w:val="0"/>
          <w:position w:val="0"/>
          <w:sz w:val="24"/>
          <w:szCs w:val="24"/>
          <w:lang w:val="zh-TW" w:eastAsia="zh-TW" w:bidi="zh-TW"/>
        </w:rPr>
        <w:t>话：</w:t>
      </w:r>
      <w:r>
        <w:rPr>
          <w:rFonts w:hint="eastAsia" w:ascii="宋体" w:hAnsi="宋体" w:eastAsia="宋体" w:cs="宋体"/>
          <w:color w:val="auto"/>
          <w:spacing w:val="0"/>
          <w:w w:val="100"/>
          <w:kern w:val="0"/>
          <w:position w:val="0"/>
          <w:sz w:val="24"/>
          <w:szCs w:val="24"/>
          <w:u w:val="single"/>
          <w:lang w:val="en-US" w:eastAsia="zh-CN" w:bidi="zh-TW"/>
        </w:rPr>
        <w:t xml:space="preserve">  </w:t>
      </w:r>
      <w:r>
        <w:rPr>
          <w:rFonts w:hint="default" w:ascii="宋体" w:hAnsi="宋体" w:eastAsia="宋体" w:cs="宋体"/>
          <w:color w:val="auto"/>
          <w:spacing w:val="0"/>
          <w:w w:val="100"/>
          <w:kern w:val="0"/>
          <w:position w:val="0"/>
          <w:sz w:val="24"/>
          <w:szCs w:val="24"/>
          <w:u w:val="single"/>
          <w:lang w:val="zh-TW" w:eastAsia="zh-TW" w:bidi="zh-TW"/>
        </w:rPr>
        <w:t>0599-2822138</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公共资源交易中心名称：</w:t>
      </w:r>
      <w:r>
        <w:rPr>
          <w:rFonts w:hint="eastAsia" w:ascii="宋体" w:hAnsi="宋体" w:eastAsia="宋体" w:cs="宋体"/>
          <w:u w:val="single"/>
          <w:shd w:val="clear" w:color="auto" w:fill="auto"/>
        </w:rPr>
        <w:t>浦城县公共资源交易中心</w:t>
      </w:r>
      <w:r>
        <w:rPr>
          <w:rFonts w:hint="eastAsia" w:ascii="宋体" w:hAnsi="宋体" w:eastAsia="宋体" w:cs="宋体"/>
          <w:shd w:val="clear" w:color="auto" w:fill="auto"/>
        </w:rPr>
        <w:t xml:space="preserve">  </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地址：</w:t>
      </w:r>
      <w:r>
        <w:rPr>
          <w:rFonts w:hint="eastAsia" w:ascii="宋体" w:hAnsi="宋体" w:eastAsia="宋体" w:cs="宋体"/>
          <w:u w:val="single"/>
          <w:shd w:val="clear" w:color="auto" w:fill="auto"/>
        </w:rPr>
        <w:t>浦城县梦笔大道316号3幢浦城县行政服务中心四楼</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default" w:cs="宋体"/>
          <w:color w:val="auto"/>
          <w:spacing w:val="0"/>
          <w:w w:val="100"/>
          <w:position w:val="0"/>
          <w:sz w:val="24"/>
          <w:szCs w:val="24"/>
          <w:u w:val="single"/>
          <w:lang w:val="en-US" w:eastAsia="zh-CN"/>
        </w:rPr>
      </w:pPr>
      <w:r>
        <w:rPr>
          <w:rFonts w:hint="eastAsia" w:ascii="宋体" w:hAnsi="宋体" w:eastAsia="宋体" w:cs="宋体"/>
          <w:shd w:val="clear" w:color="auto" w:fill="auto"/>
        </w:rPr>
        <w:t>联系电话：</w:t>
      </w:r>
      <w:r>
        <w:rPr>
          <w:rFonts w:hint="eastAsia" w:ascii="宋体" w:hAnsi="宋体" w:eastAsia="宋体" w:cs="宋体"/>
          <w:u w:val="single"/>
          <w:shd w:val="clear" w:color="auto" w:fill="auto"/>
        </w:rPr>
        <w:t>0599-2880060</w:t>
      </w:r>
      <w:r>
        <w:rPr>
          <w:rFonts w:hint="eastAsia" w:ascii="宋体" w:hAnsi="宋体" w:eastAsia="宋体" w:cs="宋体"/>
          <w:shd w:val="clear" w:color="auto" w:fill="auto"/>
        </w:rPr>
        <w:t xml:space="preserve">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200" w:right="0" w:firstLine="0" w:firstLineChars="0"/>
        <w:textAlignment w:val="baseline"/>
        <w:rPr>
          <w:rFonts w:hint="default" w:ascii="宋体" w:hAnsi="宋体" w:eastAsia="宋体" w:cs="宋体"/>
          <w:color w:val="auto"/>
          <w:spacing w:val="0"/>
          <w:w w:val="100"/>
          <w:kern w:val="0"/>
          <w:position w:val="0"/>
          <w:sz w:val="24"/>
          <w:szCs w:val="24"/>
          <w:lang w:val="zh-TW" w:eastAsia="zh-TW" w:bidi="zh-TW"/>
        </w:rPr>
      </w:pP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pacing w:val="0"/>
          <w:w w:val="100"/>
          <w:position w:val="0"/>
          <w:sz w:val="24"/>
          <w:szCs w:val="24"/>
          <w:u w:val="single"/>
          <w:lang w:val="en-US" w:eastAsia="zh-CN"/>
        </w:rPr>
      </w:pP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u w:val="single"/>
          <w:lang w:val="en-US" w:eastAsia="zh-CN"/>
        </w:rPr>
      </w:pPr>
    </w:p>
    <w:p>
      <w:pPr>
        <w:pStyle w:val="27"/>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pacing w:val="0"/>
          <w:w w:val="100"/>
          <w:position w:val="0"/>
          <w:sz w:val="24"/>
          <w:szCs w:val="24"/>
          <w:u w:val="single"/>
          <w:lang w:val="en-US" w:eastAsia="zh-CN"/>
        </w:rPr>
      </w:pPr>
    </w:p>
    <w:p>
      <w:pPr>
        <w:pStyle w:val="29"/>
        <w:keepNext w:val="0"/>
        <w:keepLines w:val="0"/>
        <w:pageBreakBefore w:val="0"/>
        <w:widowControl w:val="0"/>
        <w:shd w:val="clear" w:color="auto" w:fill="auto"/>
        <w:tabs>
          <w:tab w:val="left" w:pos="7275"/>
        </w:tabs>
        <w:kinsoku/>
        <w:overflowPunct/>
        <w:topLinePunct w:val="0"/>
        <w:autoSpaceDE/>
        <w:autoSpaceDN/>
        <w:bidi w:val="0"/>
        <w:adjustRightInd/>
        <w:snapToGrid/>
        <w:spacing w:before="0" w:after="0" w:line="360" w:lineRule="auto"/>
        <w:ind w:left="0" w:right="0" w:firstLine="480" w:firstLineChars="200"/>
        <w:jc w:val="right"/>
        <w:textAlignment w:val="auto"/>
        <w:rPr>
          <w:color w:val="auto"/>
        </w:rPr>
      </w:pPr>
      <w:r>
        <w:rPr>
          <w:rFonts w:hint="eastAsia" w:cs="宋体"/>
          <w:color w:val="auto"/>
          <w:sz w:val="24"/>
          <w:szCs w:val="24"/>
          <w:u w:val="single"/>
          <w:lang w:val="en-US" w:eastAsia="zh-CN"/>
        </w:rPr>
        <w:t xml:space="preserve"> 2024 </w:t>
      </w:r>
      <w:r>
        <w:rPr>
          <w:rFonts w:hint="eastAsia" w:ascii="宋体" w:hAnsi="宋体" w:eastAsia="宋体" w:cs="宋体"/>
          <w:color w:val="auto"/>
          <w:spacing w:val="0"/>
          <w:w w:val="100"/>
          <w:position w:val="0"/>
          <w:sz w:val="24"/>
          <w:szCs w:val="24"/>
        </w:rPr>
        <w:t>年</w:t>
      </w:r>
      <w:r>
        <w:rPr>
          <w:rFonts w:hint="eastAsia" w:cs="宋体"/>
          <w:color w:val="auto"/>
          <w:spacing w:val="0"/>
          <w:w w:val="100"/>
          <w:position w:val="0"/>
          <w:sz w:val="24"/>
          <w:szCs w:val="24"/>
          <w:u w:val="single"/>
          <w:lang w:val="en-US" w:eastAsia="zh-CN"/>
        </w:rPr>
        <w:t xml:space="preserve"> 05</w:t>
      </w:r>
      <w:r>
        <w:rPr>
          <w:rFonts w:hint="eastAsia" w:ascii="宋体" w:hAnsi="宋体" w:eastAsia="宋体" w:cs="宋体"/>
          <w:color w:val="auto"/>
          <w:spacing w:val="0"/>
          <w:w w:val="100"/>
          <w:position w:val="0"/>
          <w:sz w:val="24"/>
          <w:szCs w:val="24"/>
        </w:rPr>
        <w:t>月</w:t>
      </w:r>
      <w:r>
        <w:rPr>
          <w:rFonts w:hint="eastAsia" w:cs="宋体"/>
          <w:color w:val="auto"/>
          <w:spacing w:val="0"/>
          <w:w w:val="100"/>
          <w:position w:val="0"/>
          <w:sz w:val="24"/>
          <w:szCs w:val="24"/>
          <w:u w:val="single"/>
          <w:lang w:val="en-US" w:eastAsia="zh-CN"/>
        </w:rPr>
        <w:t xml:space="preserve"> 23  </w:t>
      </w:r>
      <w:r>
        <w:rPr>
          <w:rFonts w:hint="eastAsia" w:cs="宋体"/>
          <w:color w:val="auto"/>
          <w:spacing w:val="0"/>
          <w:w w:val="100"/>
          <w:position w:val="0"/>
          <w:sz w:val="24"/>
          <w:szCs w:val="24"/>
          <w:u w:val="none"/>
          <w:lang w:val="en-US" w:eastAsia="zh-CN"/>
        </w:rPr>
        <w:t>日</w:t>
      </w:r>
    </w:p>
    <w:p>
      <w:pPr>
        <w:pStyle w:val="29"/>
        <w:keepNext w:val="0"/>
        <w:keepLines w:val="0"/>
        <w:pageBreakBefore w:val="0"/>
        <w:widowControl w:val="0"/>
        <w:shd w:val="clear" w:color="auto" w:fill="auto"/>
        <w:tabs>
          <w:tab w:val="left" w:pos="7275"/>
        </w:tabs>
        <w:kinsoku/>
        <w:overflowPunct/>
        <w:topLinePunct w:val="0"/>
        <w:autoSpaceDE/>
        <w:autoSpaceDN/>
        <w:bidi w:val="0"/>
        <w:adjustRightInd/>
        <w:snapToGrid/>
        <w:spacing w:before="0" w:after="0" w:line="360" w:lineRule="auto"/>
        <w:ind w:left="0" w:right="0" w:firstLine="320" w:firstLineChars="200"/>
        <w:jc w:val="right"/>
        <w:textAlignment w:val="auto"/>
        <w:rPr>
          <w:color w:val="auto"/>
        </w:rPr>
      </w:pPr>
    </w:p>
    <w:p>
      <w:pPr>
        <w:pStyle w:val="29"/>
        <w:keepNext w:val="0"/>
        <w:keepLines w:val="0"/>
        <w:pageBreakBefore w:val="0"/>
        <w:widowControl w:val="0"/>
        <w:shd w:val="clear" w:color="auto" w:fill="auto"/>
        <w:tabs>
          <w:tab w:val="left" w:pos="7275"/>
        </w:tabs>
        <w:kinsoku/>
        <w:overflowPunct/>
        <w:topLinePunct w:val="0"/>
        <w:autoSpaceDE/>
        <w:autoSpaceDN/>
        <w:bidi w:val="0"/>
        <w:adjustRightInd/>
        <w:snapToGrid/>
        <w:spacing w:before="0" w:after="0" w:line="360" w:lineRule="auto"/>
        <w:ind w:left="0" w:right="0" w:firstLine="320" w:firstLineChars="200"/>
        <w:jc w:val="right"/>
        <w:textAlignment w:val="auto"/>
        <w:rPr>
          <w:color w:val="auto"/>
        </w:rPr>
      </w:pPr>
    </w:p>
    <w:p>
      <w:pPr>
        <w:pStyle w:val="29"/>
        <w:keepNext w:val="0"/>
        <w:keepLines w:val="0"/>
        <w:pageBreakBefore w:val="0"/>
        <w:widowControl w:val="0"/>
        <w:shd w:val="clear" w:color="auto" w:fill="auto"/>
        <w:tabs>
          <w:tab w:val="left" w:pos="7275"/>
        </w:tabs>
        <w:kinsoku/>
        <w:overflowPunct/>
        <w:topLinePunct w:val="0"/>
        <w:autoSpaceDE/>
        <w:autoSpaceDN/>
        <w:bidi w:val="0"/>
        <w:adjustRightInd/>
        <w:snapToGrid/>
        <w:spacing w:before="0" w:after="0" w:line="360" w:lineRule="auto"/>
        <w:ind w:left="0" w:right="0" w:firstLine="320" w:firstLineChars="200"/>
        <w:jc w:val="right"/>
        <w:textAlignment w:val="auto"/>
      </w:pPr>
    </w:p>
    <w:p>
      <w:pPr>
        <w:pStyle w:val="29"/>
        <w:keepNext w:val="0"/>
        <w:keepLines w:val="0"/>
        <w:pageBreakBefore w:val="0"/>
        <w:widowControl w:val="0"/>
        <w:shd w:val="clear" w:color="auto" w:fill="auto"/>
        <w:tabs>
          <w:tab w:val="left" w:pos="7275"/>
        </w:tabs>
        <w:kinsoku/>
        <w:overflowPunct/>
        <w:topLinePunct w:val="0"/>
        <w:autoSpaceDE/>
        <w:autoSpaceDN/>
        <w:bidi w:val="0"/>
        <w:adjustRightInd/>
        <w:snapToGrid/>
        <w:spacing w:before="0" w:after="0" w:line="360" w:lineRule="auto"/>
        <w:ind w:left="0" w:right="0" w:firstLine="320" w:firstLineChars="200"/>
        <w:jc w:val="right"/>
        <w:textAlignment w:val="auto"/>
      </w:pPr>
    </w:p>
    <w:p>
      <w:pPr>
        <w:pStyle w:val="29"/>
        <w:keepNext w:val="0"/>
        <w:keepLines w:val="0"/>
        <w:pageBreakBefore w:val="0"/>
        <w:widowControl w:val="0"/>
        <w:shd w:val="clear" w:color="auto" w:fill="auto"/>
        <w:tabs>
          <w:tab w:val="left" w:pos="7275"/>
        </w:tabs>
        <w:kinsoku/>
        <w:overflowPunct/>
        <w:topLinePunct w:val="0"/>
        <w:autoSpaceDE/>
        <w:autoSpaceDN/>
        <w:bidi w:val="0"/>
        <w:adjustRightInd/>
        <w:snapToGrid/>
        <w:spacing w:before="0" w:after="0" w:line="360" w:lineRule="auto"/>
        <w:ind w:left="0" w:right="0" w:firstLine="320" w:firstLineChars="200"/>
        <w:jc w:val="right"/>
        <w:textAlignment w:val="auto"/>
        <w:rPr>
          <w:rFonts w:hint="eastAsia" w:ascii="宋体" w:hAnsi="宋体" w:eastAsia="宋体" w:cs="宋体"/>
        </w:rPr>
      </w:pP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pPr>
        <w:rPr>
          <w:rFonts w:hint="eastAsia" w:ascii="宋体" w:hAnsi="宋体" w:eastAsia="宋体" w:cs="宋体"/>
          <w:b/>
          <w:bCs/>
          <w:color w:val="000000"/>
          <w:spacing w:val="0"/>
          <w:w w:val="100"/>
          <w:kern w:val="44"/>
          <w:position w:val="0"/>
          <w:sz w:val="32"/>
          <w:szCs w:val="32"/>
          <w:shd w:val="clear" w:color="auto" w:fill="auto"/>
          <w:lang w:val="en-US" w:eastAsia="en-US" w:bidi="en-US"/>
        </w:rPr>
      </w:pPr>
      <w:bookmarkStart w:id="36" w:name="_Toc9429"/>
      <w:r>
        <w:rPr>
          <w:rFonts w:hint="eastAsia" w:ascii="宋体" w:hAnsi="宋体" w:eastAsia="宋体" w:cs="宋体"/>
          <w:b/>
          <w:bCs/>
          <w:color w:val="000000"/>
          <w:spacing w:val="0"/>
          <w:w w:val="100"/>
          <w:kern w:val="44"/>
          <w:position w:val="0"/>
          <w:sz w:val="32"/>
          <w:szCs w:val="32"/>
          <w:shd w:val="clear" w:color="auto" w:fill="auto"/>
          <w:lang w:val="en-US" w:eastAsia="en-US" w:bidi="en-US"/>
        </w:rPr>
        <w:br w:type="page"/>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32"/>
          <w:szCs w:val="32"/>
          <w:shd w:val="clear" w:color="auto" w:fill="auto"/>
          <w:lang w:val="en-US" w:eastAsia="en-US" w:bidi="en-US"/>
        </w:rPr>
      </w:pPr>
      <w:bookmarkStart w:id="37" w:name="_Toc8895"/>
      <w:bookmarkStart w:id="38" w:name="_Toc13073"/>
      <w:r>
        <w:rPr>
          <w:rFonts w:hint="eastAsia" w:ascii="宋体" w:hAnsi="宋体" w:eastAsia="宋体" w:cs="宋体"/>
          <w:b/>
          <w:bCs/>
          <w:color w:val="000000"/>
          <w:spacing w:val="0"/>
          <w:w w:val="100"/>
          <w:kern w:val="44"/>
          <w:position w:val="0"/>
          <w:sz w:val="32"/>
          <w:szCs w:val="32"/>
          <w:shd w:val="clear" w:color="auto" w:fill="auto"/>
          <w:lang w:val="en-US" w:eastAsia="en-US" w:bidi="en-US"/>
        </w:rPr>
        <w:t>附件</w:t>
      </w:r>
      <w:r>
        <w:rPr>
          <w:rFonts w:hint="eastAsia" w:ascii="宋体" w:hAnsi="宋体" w:eastAsia="宋体" w:cs="宋体"/>
          <w:b/>
          <w:bCs/>
          <w:color w:val="000000"/>
          <w:spacing w:val="0"/>
          <w:w w:val="100"/>
          <w:kern w:val="44"/>
          <w:position w:val="0"/>
          <w:sz w:val="32"/>
          <w:szCs w:val="32"/>
          <w:shd w:val="clear" w:color="auto" w:fill="auto"/>
          <w:lang w:val="en-US" w:eastAsia="zh-CN" w:bidi="en-US"/>
        </w:rPr>
        <w:t xml:space="preserve">1：  </w:t>
      </w:r>
      <w:r>
        <w:rPr>
          <w:rFonts w:hint="eastAsia" w:ascii="宋体" w:hAnsi="宋体" w:eastAsia="宋体" w:cs="宋体"/>
          <w:b/>
          <w:bCs/>
          <w:color w:val="000000"/>
          <w:spacing w:val="0"/>
          <w:w w:val="100"/>
          <w:kern w:val="44"/>
          <w:position w:val="0"/>
          <w:sz w:val="32"/>
          <w:szCs w:val="32"/>
          <w:shd w:val="clear" w:color="auto" w:fill="auto"/>
          <w:lang w:val="en-US" w:eastAsia="en-US" w:bidi="en-US"/>
        </w:rPr>
        <w:t>确认通知</w:t>
      </w:r>
      <w:bookmarkEnd w:id="36"/>
      <w:bookmarkEnd w:id="37"/>
      <w:bookmarkEnd w:id="38"/>
    </w:p>
    <w:p>
      <w:pPr>
        <w:pageBreakBefore w:val="0"/>
        <w:widowControl w:val="0"/>
        <w:kinsoku/>
        <w:wordWrap/>
        <w:overflowPunct/>
        <w:topLinePunct w:val="0"/>
        <w:autoSpaceDE/>
        <w:autoSpaceDN/>
        <w:bidi w:val="0"/>
        <w:adjustRightInd/>
        <w:snapToGrid/>
        <w:spacing w:before="0" w:after="0" w:line="360" w:lineRule="auto"/>
        <w:ind w:left="0" w:right="0" w:firstLine="643" w:firstLineChars="200"/>
        <w:jc w:val="center"/>
        <w:textAlignment w:val="auto"/>
        <w:outlineLvl w:val="9"/>
        <w:rPr>
          <w:rFonts w:hint="eastAsia" w:ascii="宋体" w:hAnsi="宋体" w:eastAsia="宋体" w:cs="宋体"/>
          <w:b/>
          <w:bCs/>
          <w:sz w:val="32"/>
          <w:szCs w:val="32"/>
        </w:rPr>
      </w:pPr>
      <w:bookmarkStart w:id="39" w:name="bookmark256"/>
      <w:bookmarkStart w:id="40" w:name="bookmark255"/>
      <w:bookmarkStart w:id="41" w:name="bookmark254"/>
    </w:p>
    <w:p>
      <w:pPr>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bookmarkStart w:id="42" w:name="_Toc21327"/>
      <w:bookmarkStart w:id="43" w:name="_Toc9162"/>
      <w:bookmarkStart w:id="44" w:name="_Toc2653"/>
      <w:bookmarkStart w:id="45" w:name="_Toc10926"/>
      <w:bookmarkStart w:id="46" w:name="_Toc12385"/>
      <w:r>
        <w:rPr>
          <w:rFonts w:hint="eastAsia" w:ascii="宋体" w:hAnsi="宋体" w:eastAsia="宋体" w:cs="宋体"/>
          <w:b/>
          <w:bCs/>
          <w:sz w:val="32"/>
          <w:szCs w:val="32"/>
        </w:rPr>
        <w:t>确认通知</w:t>
      </w:r>
      <w:bookmarkEnd w:id="39"/>
      <w:bookmarkEnd w:id="40"/>
      <w:bookmarkEnd w:id="41"/>
      <w:bookmarkEnd w:id="42"/>
      <w:bookmarkEnd w:id="43"/>
      <w:bookmarkEnd w:id="44"/>
      <w:bookmarkEnd w:id="45"/>
      <w:bookmarkEnd w:id="46"/>
    </w:p>
    <w:p>
      <w:pPr>
        <w:pStyle w:val="27"/>
        <w:keepNext w:val="0"/>
        <w:keepLines w:val="0"/>
        <w:pageBreakBefore w:val="0"/>
        <w:widowControl w:val="0"/>
        <w:shd w:val="clear" w:color="auto" w:fill="auto"/>
        <w:tabs>
          <w:tab w:val="left" w:pos="5434"/>
          <w:tab w:val="left" w:pos="5634"/>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u w:val="single"/>
        </w:rPr>
      </w:pPr>
    </w:p>
    <w:p>
      <w:pPr>
        <w:pStyle w:val="27"/>
        <w:keepNext w:val="0"/>
        <w:keepLines w:val="0"/>
        <w:pageBreakBefore w:val="0"/>
        <w:widowControl w:val="0"/>
        <w:shd w:val="clear" w:color="auto" w:fill="auto"/>
        <w:tabs>
          <w:tab w:val="left" w:pos="5434"/>
          <w:tab w:val="left" w:pos="5634"/>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（采购人或采购代理机构名称）</w:t>
      </w:r>
      <w:r>
        <w:rPr>
          <w:rFonts w:hint="eastAsia" w:cs="宋体"/>
          <w:sz w:val="24"/>
          <w:szCs w:val="24"/>
          <w:u w:val="none"/>
          <w:lang w:val="en-US" w:eastAsia="zh-CN"/>
        </w:rPr>
        <w:t>：</w:t>
      </w:r>
    </w:p>
    <w:p>
      <w:pPr>
        <w:pStyle w:val="27"/>
        <w:keepNext w:val="0"/>
        <w:keepLines w:val="0"/>
        <w:pageBreakBefore w:val="0"/>
        <w:widowControl w:val="0"/>
        <w:shd w:val="clear" w:color="auto" w:fill="auto"/>
        <w:tabs>
          <w:tab w:val="left" w:pos="955"/>
          <w:tab w:val="left" w:pos="2506"/>
          <w:tab w:val="left" w:pos="3749"/>
          <w:tab w:val="left" w:pos="3797"/>
          <w:tab w:val="left" w:pos="5050"/>
          <w:tab w:val="left" w:pos="5088"/>
          <w:tab w:val="left" w:pos="7488"/>
          <w:tab w:val="left" w:pos="8779"/>
          <w:tab w:val="left" w:pos="90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我方已于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日收到你方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r>
        <w:rPr>
          <w:rFonts w:hint="eastAsia" w:ascii="宋体" w:hAnsi="宋体" w:eastAsia="宋体" w:cs="宋体"/>
          <w:color w:val="000000"/>
          <w:spacing w:val="0"/>
          <w:w w:val="100"/>
          <w:position w:val="0"/>
          <w:sz w:val="24"/>
          <w:szCs w:val="24"/>
        </w:rPr>
        <w:t>发出的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（项目名称）</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采购邀请书，并确认</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（参加/不参加）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特此确认。</w:t>
      </w:r>
    </w:p>
    <w:p>
      <w:pPr>
        <w:pStyle w:val="27"/>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被邀请单位名称：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tabs>
          <w:tab w:val="left" w:pos="955"/>
          <w:tab w:val="left" w:pos="2160"/>
          <w:tab w:val="left" w:pos="3365"/>
        </w:tabs>
        <w:kinsoku/>
        <w:wordWrap w:val="0"/>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cs="宋体"/>
          <w:sz w:val="22"/>
          <w:szCs w:val="22"/>
          <w:u w:val="non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pageBreakBefore w:val="0"/>
        <w:widowControl w:val="0"/>
        <w:kinsoku/>
        <w:overflowPunct/>
        <w:topLinePunct w:val="0"/>
        <w:autoSpaceDE/>
        <w:autoSpaceDN/>
        <w:bidi w:val="0"/>
        <w:adjustRightInd/>
        <w:snapToGrid/>
        <w:spacing w:before="0" w:after="0" w:line="360" w:lineRule="auto"/>
        <w:ind w:left="0" w:right="0" w:firstLine="440" w:firstLineChars="200"/>
        <w:textAlignment w:val="auto"/>
        <w:rPr>
          <w:rFonts w:hint="eastAsia" w:cs="宋体"/>
          <w:sz w:val="22"/>
          <w:szCs w:val="22"/>
          <w:u w:val="none"/>
          <w:lang w:val="en-US" w:eastAsia="zh-CN"/>
        </w:rPr>
      </w:pPr>
      <w:r>
        <w:rPr>
          <w:rFonts w:hint="eastAsia" w:cs="宋体"/>
          <w:sz w:val="22"/>
          <w:szCs w:val="22"/>
          <w:u w:val="none"/>
          <w:lang w:val="en-US" w:eastAsia="zh-CN"/>
        </w:rPr>
        <w:br w:type="page"/>
      </w: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bookmarkStart w:id="47" w:name="bookmark257"/>
      <w:bookmarkStart w:id="48" w:name="bookmark258"/>
      <w:bookmarkStart w:id="49" w:name="bookmark259"/>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
        <w:bidi w:val="0"/>
        <w:jc w:val="center"/>
        <w:rPr>
          <w:rFonts w:hint="eastAsia" w:ascii="宋体" w:hAnsi="宋体" w:eastAsia="宋体" w:cs="宋体"/>
          <w:color w:val="000000"/>
          <w:spacing w:val="0"/>
          <w:w w:val="100"/>
          <w:position w:val="0"/>
          <w:sz w:val="52"/>
          <w:szCs w:val="52"/>
          <w:lang w:val="en-US" w:eastAsia="zh-CN"/>
        </w:rPr>
      </w:pPr>
      <w:bookmarkStart w:id="50" w:name="_Toc26686"/>
      <w:bookmarkStart w:id="51" w:name="_Toc4329"/>
      <w:r>
        <w:rPr>
          <w:rFonts w:hint="eastAsia" w:ascii="宋体" w:hAnsi="宋体" w:eastAsia="宋体" w:cs="宋体"/>
          <w:sz w:val="52"/>
          <w:szCs w:val="52"/>
          <w:lang w:val="en-US" w:eastAsia="zh-CN"/>
        </w:rPr>
        <w:t>第二章   供应商须知</w:t>
      </w:r>
      <w:bookmarkEnd w:id="50"/>
      <w:bookmarkEnd w:id="51"/>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pPr>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2" w:name="_Toc16866"/>
      <w:r>
        <w:rPr>
          <w:rFonts w:hint="eastAsia" w:ascii="宋体" w:hAnsi="宋体" w:eastAsia="宋体" w:cs="宋体"/>
          <w:b/>
          <w:bCs/>
          <w:color w:val="000000"/>
          <w:spacing w:val="0"/>
          <w:w w:val="100"/>
          <w:kern w:val="44"/>
          <w:position w:val="0"/>
          <w:sz w:val="28"/>
          <w:szCs w:val="28"/>
          <w:shd w:val="clear" w:color="auto" w:fill="auto"/>
          <w:lang w:val="en-US" w:eastAsia="en-US" w:bidi="en-US"/>
        </w:rPr>
        <w:br w:type="page"/>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3" w:name="_Toc25102"/>
      <w:r>
        <w:rPr>
          <w:rFonts w:hint="eastAsia" w:ascii="宋体" w:hAnsi="宋体" w:eastAsia="宋体" w:cs="宋体"/>
          <w:b/>
          <w:bCs/>
          <w:color w:val="000000"/>
          <w:spacing w:val="0"/>
          <w:w w:val="100"/>
          <w:kern w:val="44"/>
          <w:position w:val="0"/>
          <w:sz w:val="28"/>
          <w:szCs w:val="28"/>
          <w:shd w:val="clear" w:color="auto" w:fill="auto"/>
          <w:lang w:val="en-US" w:eastAsia="en-US" w:bidi="en-US"/>
        </w:rPr>
        <w:t>供应商须知前附表</w:t>
      </w:r>
      <w:bookmarkEnd w:id="47"/>
      <w:bookmarkEnd w:id="48"/>
      <w:bookmarkEnd w:id="49"/>
      <w:bookmarkEnd w:id="52"/>
      <w:bookmarkEnd w:id="5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3315"/>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条款号</w:t>
            </w:r>
          </w:p>
        </w:tc>
        <w:tc>
          <w:tcPr>
            <w:tcW w:w="331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条款内容</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1.7.1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踏勘现场</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不组织</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组织，踏勘时间：</w:t>
            </w:r>
            <w:r>
              <w:rPr>
                <w:rFonts w:hint="eastAsia" w:ascii="宋体" w:hAnsi="宋体" w:eastAsia="宋体" w:cs="宋体"/>
                <w:sz w:val="18"/>
                <w:szCs w:val="18"/>
                <w:u w:val="single"/>
                <w:vertAlign w:val="baseline"/>
                <w:lang w:val="en-US" w:eastAsia="zh-CN"/>
              </w:rPr>
              <w:t xml:space="preserve">        /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踏勘集中地点：</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1.8</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询比采购预备会</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不召开</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召开，召开时间：</w:t>
            </w:r>
            <w:r>
              <w:rPr>
                <w:rFonts w:hint="eastAsia" w:ascii="宋体" w:hAnsi="宋体" w:eastAsia="宋体" w:cs="宋体"/>
                <w:sz w:val="18"/>
                <w:szCs w:val="18"/>
                <w:u w:val="single"/>
                <w:vertAlign w:val="baseline"/>
                <w:lang w:val="en-US" w:eastAsia="zh-CN"/>
              </w:rPr>
              <w:t xml:space="preserve">       /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召开地点：</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分包</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不得分包的内容：</w:t>
            </w:r>
            <w:r>
              <w:rPr>
                <w:rFonts w:hint="eastAsia" w:ascii="宋体" w:hAnsi="宋体" w:eastAsia="宋体" w:cs="宋体"/>
                <w:sz w:val="18"/>
                <w:szCs w:val="18"/>
                <w:u w:val="single"/>
                <w:vertAlign w:val="baseline"/>
                <w:lang w:val="en-US" w:eastAsia="zh-CN"/>
              </w:rPr>
              <w:t xml:space="preserve">  不允许分包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对分包供应商的要求：</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1.10.2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对非关键条款的偏差</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允许偏差的范围：</w:t>
            </w:r>
            <w:r>
              <w:rPr>
                <w:rFonts w:hint="eastAsia" w:ascii="宋体" w:hAnsi="宋体" w:eastAsia="宋体" w:cs="宋体"/>
                <w:sz w:val="18"/>
                <w:szCs w:val="18"/>
                <w:u w:val="single"/>
                <w:vertAlign w:val="baseline"/>
                <w:lang w:val="en-US" w:eastAsia="zh-CN"/>
              </w:rPr>
              <w:t xml:space="preserve"> 不允许偏差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允许偏差的项数：</w:t>
            </w:r>
            <w:r>
              <w:rPr>
                <w:rFonts w:hint="eastAsia" w:ascii="宋体" w:hAnsi="宋体" w:eastAsia="宋体" w:cs="宋体"/>
                <w:sz w:val="18"/>
                <w:szCs w:val="18"/>
                <w:u w:val="single"/>
                <w:vertAlign w:val="baseline"/>
                <w:lang w:val="en-US" w:eastAsia="zh-CN"/>
              </w:rPr>
              <w:t xml:space="preserve">   /    </w:t>
            </w:r>
            <w:r>
              <w:rPr>
                <w:rFonts w:hint="eastAsia" w:ascii="宋体" w:hAnsi="宋体" w:eastAsia="宋体" w:cs="宋体"/>
                <w:color w:val="000000"/>
                <w:spacing w:val="0"/>
                <w:w w:val="100"/>
                <w:position w:val="0"/>
                <w:sz w:val="18"/>
                <w:szCs w:val="18"/>
                <w:u w:val="none"/>
                <w:shd w:val="clear" w:color="auto" w:fill="auto"/>
                <w:lang w:val="en-US" w:eastAsia="zh-CN" w:bidi="zh-TW"/>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2.1（7）</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构成采购文件的其他资料</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资料名称:</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2.2.1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供应商要求澄清采购文件的时间</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截止时间：</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2024年5 月28 日10 时00分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default"/>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要求澄清的方式：</w:t>
            </w:r>
            <w:r>
              <w:rPr>
                <w:rFonts w:hint="eastAsia" w:ascii="宋体" w:hAnsi="宋体" w:eastAsia="宋体" w:cs="宋体"/>
                <w:color w:val="000000"/>
                <w:spacing w:val="0"/>
                <w:w w:val="100"/>
                <w:position w:val="0"/>
                <w:sz w:val="18"/>
                <w:szCs w:val="18"/>
                <w:u w:val="single"/>
                <w:shd w:val="clear" w:color="auto" w:fill="auto"/>
                <w:lang w:val="en-US" w:eastAsia="zh-CN" w:bidi="zh-TW"/>
              </w:rPr>
              <w:t>以书面形式提交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2.2.3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供应商确认收到采购文件补充文件</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确认的最晚时间：</w:t>
            </w:r>
            <w:r>
              <w:rPr>
                <w:rFonts w:hint="eastAsia" w:ascii="宋体" w:hAnsi="宋体" w:eastAsia="宋体" w:cs="宋体"/>
                <w:sz w:val="18"/>
                <w:szCs w:val="18"/>
                <w:u w:val="single"/>
                <w:vertAlign w:val="baseline"/>
                <w:lang w:val="en-US" w:eastAsia="zh-CN"/>
              </w:rPr>
              <w:t xml:space="preserve">2024年 5月28 日17时30分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确认的方式：</w:t>
            </w:r>
            <w:r>
              <w:rPr>
                <w:rFonts w:hint="eastAsia" w:ascii="宋体" w:hAnsi="宋体" w:eastAsia="宋体" w:cs="宋体"/>
                <w:sz w:val="18"/>
                <w:szCs w:val="18"/>
                <w:u w:val="single"/>
                <w:vertAlign w:val="baseline"/>
                <w:lang w:val="en-US" w:eastAsia="zh-CN"/>
              </w:rPr>
              <w:t xml:space="preserve">电函或以邮件形式发送确认文件扫描件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3.1.1（9）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构成响应文件的其他资料</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资料名称：</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采购标的数量增减幅度</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采购标的数量增减幅度：</w:t>
            </w:r>
            <w:r>
              <w:rPr>
                <w:rFonts w:hint="eastAsia" w:ascii="宋体" w:hAnsi="宋体" w:eastAsia="宋体" w:cs="宋体"/>
                <w:sz w:val="18"/>
                <w:szCs w:val="18"/>
                <w:u w:val="single"/>
                <w:shd w:val="clear" w:color="auto" w:fill="auto"/>
                <w:vertAlign w:val="baseline"/>
                <w:lang w:val="en-US" w:eastAsia="zh-CN"/>
              </w:rPr>
              <w:t xml:space="preserve">  /  </w:t>
            </w:r>
            <w:r>
              <w:rPr>
                <w:rFonts w:hint="eastAsia" w:ascii="宋体" w:hAnsi="宋体" w:eastAsia="宋体" w:cs="宋体"/>
                <w:color w:val="000000"/>
                <w:spacing w:val="0"/>
                <w:w w:val="10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最高限价或其计算方法</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sym w:font="Wingdings" w:char="00A8"/>
            </w:r>
            <w:r>
              <w:rPr>
                <w:rFonts w:hint="eastAsia" w:ascii="宋体" w:hAnsi="宋体" w:eastAsia="宋体" w:cs="宋体"/>
                <w:sz w:val="18"/>
                <w:szCs w:val="18"/>
                <w:u w:val="none"/>
                <w:vertAlign w:val="baseline"/>
                <w:lang w:val="en-US" w:eastAsia="zh-CN"/>
              </w:rPr>
              <w:t>无</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sym w:font="Wingdings" w:char="00FE"/>
            </w:r>
            <w:r>
              <w:rPr>
                <w:rFonts w:hint="eastAsia" w:ascii="宋体" w:hAnsi="宋体" w:eastAsia="宋体" w:cs="宋体"/>
                <w:sz w:val="18"/>
                <w:szCs w:val="18"/>
                <w:u w:val="none"/>
                <w:vertAlign w:val="baseline"/>
                <w:lang w:val="en-US" w:eastAsia="zh-CN"/>
              </w:rPr>
              <w:t xml:space="preserve">有，最高限价或其计算方法：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最高限价：</w:t>
            </w:r>
            <w:r>
              <w:rPr>
                <w:rFonts w:hint="eastAsia" w:ascii="宋体" w:hAnsi="宋体" w:eastAsia="宋体" w:cs="宋体"/>
                <w:sz w:val="18"/>
                <w:szCs w:val="18"/>
                <w:u w:val="single"/>
                <w:vertAlign w:val="baseline"/>
                <w:lang w:val="en-US" w:eastAsia="zh-CN"/>
              </w:rPr>
              <w:t>410000元。</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计算方法：</w:t>
            </w:r>
          </w:p>
          <w:p>
            <w:pPr>
              <w:pageBreakBefore w:val="0"/>
              <w:widowControl w:val="0"/>
              <w:numPr>
                <w:ilvl w:val="0"/>
                <w:numId w:val="3"/>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本项目工程预算编制服务费参考闽招协[2021]32号《关于招标代理、工程造价咨询行业服务收费的指导意见》的文件精神，计费额暂按21036万元计算。建设工程造价咨询服务收费指导价按市政工程费类别计取，专业调整系数为0.7，浮动幅度值为-30%。</w:t>
            </w:r>
          </w:p>
          <w:p>
            <w:pPr>
              <w:pageBreakBefore w:val="0"/>
              <w:widowControl w:val="0"/>
              <w:numPr>
                <w:ilvl w:val="0"/>
                <w:numId w:val="3"/>
              </w:numPr>
              <w:shd w:val="clear" w:color="auto" w:fill="auto"/>
              <w:kinsoku/>
              <w:overflowPunct/>
              <w:topLinePunct w:val="0"/>
              <w:autoSpaceDE/>
              <w:autoSpaceDN/>
              <w:bidi w:val="0"/>
              <w:adjustRightInd/>
              <w:snapToGrid/>
              <w:spacing w:before="0" w:after="0" w:line="240" w:lineRule="auto"/>
              <w:ind w:left="0" w:right="0" w:firstLine="360" w:firstLineChars="200"/>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最高限价计算过程：</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500×5‰＝2.5</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（1000－500）×4.6‰＝2.3</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（5000－1000）×4.2‰＝16.8</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（10000－5000）×4‰＝20</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（21036－10000）×3.8‰＝41.9368</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239" w:firstLineChars="133"/>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合计：2.5＋2.3＋16.8＋20＋41.9368＝83.5368万元</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239" w:firstLineChars="133"/>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乘以专业调整系数得：83.5368×0.7＝58.4758万元</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239" w:firstLineChars="133"/>
              <w:jc w:val="left"/>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按-30％计算得：58.4758×（1-30%）＝41万元</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239" w:firstLineChars="133"/>
              <w:jc w:val="left"/>
              <w:textAlignment w:val="auto"/>
              <w:rPr>
                <w:rFonts w:hint="default"/>
                <w:lang w:val="en-US" w:eastAsia="zh-CN"/>
              </w:rPr>
            </w:pPr>
            <w:r>
              <w:rPr>
                <w:rFonts w:hint="eastAsia" w:ascii="宋体" w:hAnsi="宋体" w:eastAsia="宋体" w:cs="宋体"/>
                <w:sz w:val="18"/>
                <w:szCs w:val="18"/>
                <w:u w:val="none"/>
                <w:vertAlign w:val="baseline"/>
                <w:lang w:val="en-US" w:eastAsia="zh-CN"/>
              </w:rPr>
              <w:t>本项目服务费用最高限价取整为</w:t>
            </w:r>
            <w:r>
              <w:rPr>
                <w:rFonts w:hint="eastAsia" w:ascii="宋体" w:hAnsi="宋体" w:eastAsia="宋体" w:cs="宋体"/>
                <w:sz w:val="18"/>
                <w:szCs w:val="18"/>
                <w:u w:val="single"/>
                <w:vertAlign w:val="baseline"/>
                <w:lang w:val="en-US" w:eastAsia="zh-CN"/>
              </w:rPr>
              <w:t>410000</w:t>
            </w:r>
            <w:r>
              <w:rPr>
                <w:rFonts w:hint="eastAsia" w:ascii="宋体" w:hAnsi="宋体" w:eastAsia="宋体" w:cs="宋体"/>
                <w:sz w:val="18"/>
                <w:szCs w:val="18"/>
                <w:u w:val="none"/>
                <w:vertAlign w:val="baseline"/>
                <w:lang w:val="en-US" w:eastAsia="zh-CN"/>
              </w:rPr>
              <w:t>元，实际结算金额按各个子项目独立计算。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报价的其他要求</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1、供应商代表只能接受一个供应商的授权参加报价，否则报价无效。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2、单位负责人为同一人或存在直接控股、管理关系的不同供应商，不得同时参加同一合同项下的报价，否则报价无效。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3、除采购文件另有规定外，响应文件不能出现任何选择性的报价，任何选择性的报价将导致报价无效。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4、供应商报价超出最高限价将导致报价无效。</w:t>
            </w:r>
          </w:p>
          <w:p>
            <w:pPr>
              <w:pStyle w:val="23"/>
              <w:ind w:left="0" w:leftChars="0" w:firstLine="239" w:firstLineChars="133"/>
              <w:jc w:val="both"/>
              <w:rPr>
                <w:rFonts w:hint="eastAsia" w:hAnsi="宋体" w:cs="宋体"/>
                <w:sz w:val="18"/>
                <w:szCs w:val="18"/>
                <w:u w:val="none"/>
                <w:vertAlign w:val="baseline"/>
                <w:lang w:val="en-US" w:eastAsia="zh-CN"/>
              </w:rPr>
            </w:pPr>
            <w:r>
              <w:rPr>
                <w:rFonts w:hint="eastAsia" w:hAnsi="宋体" w:cs="宋体"/>
                <w:sz w:val="18"/>
                <w:szCs w:val="18"/>
                <w:u w:val="none"/>
                <w:vertAlign w:val="baseline"/>
                <w:lang w:val="en-US" w:eastAsia="zh-CN"/>
              </w:rPr>
              <w:t>5、本项目最高限价的浮动幅度值为-30%。供应商在报价表中须写明报价的浮动幅度值（按百分数表示的浮动幅度值小数点后保留2位，须标明“-”，例“-32.47%”），并根据下述计算程序计算出相应预算编制服务费报价金额。供应商报价金额超出最高限价将导致报价无效。</w:t>
            </w:r>
          </w:p>
          <w:p>
            <w:pPr>
              <w:pStyle w:val="23"/>
              <w:ind w:left="0" w:leftChars="0" w:firstLine="239" w:firstLineChars="133"/>
              <w:jc w:val="both"/>
              <w:rPr>
                <w:rFonts w:hint="eastAsia" w:hAnsi="宋体" w:cs="宋体"/>
                <w:sz w:val="18"/>
                <w:szCs w:val="18"/>
                <w:u w:val="none"/>
                <w:vertAlign w:val="baseline"/>
                <w:lang w:val="en-US" w:eastAsia="zh-CN"/>
              </w:rPr>
            </w:pPr>
            <w:r>
              <w:rPr>
                <w:rFonts w:hint="eastAsia" w:hAnsi="宋体" w:cs="宋体"/>
                <w:sz w:val="18"/>
                <w:szCs w:val="18"/>
                <w:u w:val="none"/>
                <w:vertAlign w:val="baseline"/>
                <w:lang w:val="en-US" w:eastAsia="zh-CN"/>
              </w:rPr>
              <w:t>6、最终预算编制费按子项分别结算，以各子项预算书的工程造价作为计费基数重新计取，</w:t>
            </w:r>
          </w:p>
          <w:p>
            <w:pPr>
              <w:pStyle w:val="23"/>
              <w:ind w:left="0" w:leftChars="0" w:firstLine="239" w:firstLineChars="133"/>
              <w:jc w:val="both"/>
              <w:rPr>
                <w:rFonts w:hint="eastAsia" w:ascii="宋体" w:hAnsi="宋体" w:eastAsia="宋体" w:cs="宋体"/>
                <w:sz w:val="18"/>
                <w:szCs w:val="18"/>
                <w:u w:val="none"/>
                <w:vertAlign w:val="baseline"/>
                <w:lang w:val="en-US" w:eastAsia="zh-CN"/>
              </w:rPr>
            </w:pPr>
            <w:r>
              <w:rPr>
                <w:rFonts w:hint="eastAsia" w:hAnsi="宋体" w:cs="宋体"/>
                <w:sz w:val="18"/>
                <w:szCs w:val="18"/>
                <w:u w:val="none"/>
                <w:vertAlign w:val="baseline"/>
                <w:lang w:val="en-US" w:eastAsia="zh-CN"/>
              </w:rPr>
              <w:t>预算编制费基价＝</w:t>
            </w:r>
            <w:r>
              <w:rPr>
                <w:rFonts w:hint="eastAsia" w:ascii="宋体" w:hAnsi="宋体" w:eastAsia="宋体" w:cs="宋体"/>
                <w:sz w:val="18"/>
                <w:szCs w:val="18"/>
                <w:u w:val="none"/>
                <w:vertAlign w:val="baseline"/>
                <w:lang w:val="en-US" w:eastAsia="zh-CN"/>
              </w:rPr>
              <w:t>2.5＋2.3＋16.8＋20＋41.9368＝83.5368万元。</w:t>
            </w:r>
          </w:p>
          <w:p>
            <w:pPr>
              <w:pStyle w:val="23"/>
              <w:ind w:left="0" w:leftChars="0" w:firstLine="239" w:firstLineChars="133"/>
              <w:jc w:val="both"/>
              <w:rPr>
                <w:rFonts w:hint="default"/>
                <w:lang w:val="en-US" w:eastAsia="zh-CN"/>
              </w:rPr>
            </w:pPr>
            <w:r>
              <w:rPr>
                <w:rFonts w:hint="eastAsia" w:ascii="宋体" w:hAnsi="宋体" w:eastAsia="宋体" w:cs="宋体"/>
                <w:sz w:val="18"/>
                <w:szCs w:val="18"/>
                <w:u w:val="none"/>
                <w:vertAlign w:val="baseline"/>
                <w:lang w:val="en-US" w:eastAsia="zh-CN"/>
              </w:rPr>
              <w:t>预算编制费 = 预算编制费基</w:t>
            </w:r>
            <w:r>
              <w:rPr>
                <w:rFonts w:hint="eastAsia" w:hAnsi="宋体" w:cs="宋体"/>
                <w:sz w:val="18"/>
                <w:szCs w:val="18"/>
                <w:u w:val="none"/>
                <w:vertAlign w:val="baseline"/>
                <w:lang w:val="en-US" w:eastAsia="zh-CN"/>
              </w:rPr>
              <w:t>价</w:t>
            </w:r>
            <w:r>
              <w:rPr>
                <w:rFonts w:hint="eastAsia" w:ascii="宋体" w:hAnsi="宋体" w:eastAsia="宋体" w:cs="宋体"/>
                <w:sz w:val="18"/>
                <w:szCs w:val="18"/>
                <w:u w:val="none"/>
                <w:vertAlign w:val="baseline"/>
                <w:lang w:val="en-US" w:eastAsia="zh-CN"/>
              </w:rPr>
              <w:t>×专业调整系数×浮动幅度值。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3.3.1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响应文件有效期</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响应文件递交截止时间后</w:t>
            </w:r>
            <w:r>
              <w:rPr>
                <w:rFonts w:hint="eastAsia" w:ascii="宋体" w:hAnsi="宋体" w:eastAsia="宋体" w:cs="宋体"/>
                <w:sz w:val="18"/>
                <w:szCs w:val="18"/>
                <w:u w:val="single"/>
                <w:vertAlign w:val="baseline"/>
                <w:lang w:val="en-US" w:eastAsia="zh-CN"/>
              </w:rPr>
              <w:t>90</w:t>
            </w:r>
            <w:r>
              <w:rPr>
                <w:rFonts w:hint="eastAsia" w:ascii="宋体" w:hAnsi="宋体" w:eastAsia="宋体" w:cs="宋体"/>
                <w:sz w:val="18"/>
                <w:szCs w:val="18"/>
                <w:u w:val="none"/>
                <w:vertAlign w:val="baseli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响应保证金</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不要求递交</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要求递交</w:t>
            </w:r>
          </w:p>
          <w:p>
            <w:pPr>
              <w:ind w:firstLine="360" w:firstLineChars="200"/>
              <w:jc w:val="both"/>
              <w:rPr>
                <w:rFonts w:ascii="宋体" w:hAnsi="宋体" w:eastAsia="宋体" w:cs="宋体"/>
                <w:sz w:val="18"/>
                <w:szCs w:val="18"/>
                <w:lang w:eastAsia="zh-CN" w:bidi="zh-TW"/>
              </w:rPr>
            </w:pPr>
            <w:r>
              <w:rPr>
                <w:rFonts w:hint="eastAsia" w:ascii="宋体" w:hAnsi="宋体" w:eastAsia="宋体" w:cs="宋体"/>
                <w:sz w:val="18"/>
                <w:szCs w:val="18"/>
                <w:lang w:eastAsia="zh-CN" w:bidi="zh-TW"/>
              </w:rPr>
              <w:t>保证金提交的截止时间：响应文件递交截止时间前一个工作日16:00:00前。</w:t>
            </w:r>
          </w:p>
          <w:p>
            <w:pPr>
              <w:ind w:firstLine="360" w:firstLineChars="200"/>
              <w:jc w:val="both"/>
              <w:rPr>
                <w:rFonts w:ascii="宋体" w:hAnsi="宋体" w:eastAsia="宋体" w:cs="宋体"/>
                <w:sz w:val="18"/>
                <w:szCs w:val="18"/>
                <w:lang w:eastAsia="zh-CN" w:bidi="zh-TW"/>
              </w:rPr>
            </w:pPr>
            <w:r>
              <w:rPr>
                <w:rFonts w:hint="eastAsia" w:ascii="宋体" w:hAnsi="宋体" w:eastAsia="宋体" w:cs="宋体"/>
                <w:sz w:val="18"/>
                <w:szCs w:val="18"/>
                <w:lang w:eastAsia="zh-CN" w:bidi="zh-TW"/>
              </w:rPr>
              <w:t>保证金的金额：</w:t>
            </w:r>
            <w:r>
              <w:rPr>
                <w:rFonts w:hint="eastAsia" w:ascii="宋体" w:hAnsi="宋体" w:eastAsia="宋体" w:cs="宋体"/>
                <w:sz w:val="18"/>
                <w:szCs w:val="18"/>
                <w:lang w:val="en-US" w:eastAsia="zh-CN" w:bidi="zh-TW"/>
              </w:rPr>
              <w:t>捌仟</w:t>
            </w:r>
            <w:r>
              <w:rPr>
                <w:rFonts w:hint="eastAsia" w:ascii="宋体" w:hAnsi="宋体" w:eastAsia="宋体" w:cs="宋体"/>
                <w:sz w:val="18"/>
                <w:szCs w:val="18"/>
                <w:lang w:eastAsia="zh-CN" w:bidi="zh-TW"/>
              </w:rPr>
              <w:t>元整（¥</w:t>
            </w:r>
            <w:r>
              <w:rPr>
                <w:rFonts w:hint="eastAsia" w:ascii="宋体" w:hAnsi="宋体" w:eastAsia="宋体" w:cs="宋体"/>
                <w:sz w:val="18"/>
                <w:szCs w:val="18"/>
                <w:lang w:val="en-US" w:eastAsia="zh-CN" w:bidi="zh-TW"/>
              </w:rPr>
              <w:t>8000</w:t>
            </w:r>
            <w:r>
              <w:rPr>
                <w:rFonts w:hint="eastAsia" w:ascii="宋体" w:hAnsi="宋体" w:eastAsia="宋体" w:cs="宋体"/>
                <w:sz w:val="18"/>
                <w:szCs w:val="18"/>
                <w:lang w:eastAsia="zh-CN" w:bidi="zh-TW"/>
              </w:rPr>
              <w:t>元）。</w:t>
            </w:r>
          </w:p>
          <w:p>
            <w:pPr>
              <w:ind w:firstLine="360" w:firstLineChars="200"/>
              <w:jc w:val="both"/>
              <w:rPr>
                <w:rFonts w:ascii="宋体" w:hAnsi="宋体" w:eastAsia="宋体" w:cs="宋体"/>
                <w:sz w:val="18"/>
                <w:szCs w:val="18"/>
                <w:lang w:eastAsia="zh-CN" w:bidi="zh-TW"/>
              </w:rPr>
            </w:pPr>
            <w:r>
              <w:rPr>
                <w:rFonts w:hint="eastAsia" w:ascii="宋体" w:hAnsi="宋体" w:eastAsia="宋体" w:cs="宋体"/>
                <w:sz w:val="18"/>
                <w:szCs w:val="18"/>
                <w:lang w:eastAsia="zh-CN" w:bidi="zh-TW"/>
              </w:rPr>
              <w:t>保证金的形式：应在响应保证金提交的截止时间前，从供应商企业基本账户以电汇或银行转账的形式，汇到采购文件指定的响应保证金账户，并应在电汇或银行转账单上注明“</w:t>
            </w:r>
            <w:r>
              <w:rPr>
                <w:rFonts w:hint="eastAsia" w:ascii="宋体" w:hAnsi="宋体" w:eastAsia="宋体" w:cs="宋体"/>
                <w:b w:val="0"/>
                <w:bCs w:val="0"/>
                <w:sz w:val="18"/>
                <w:szCs w:val="18"/>
                <w:u w:val="single"/>
                <w:lang w:eastAsia="zh-CN" w:bidi="zh-TW"/>
              </w:rPr>
              <w:t>PHZC[2024]0</w:t>
            </w:r>
            <w:r>
              <w:rPr>
                <w:rFonts w:hint="eastAsia" w:ascii="宋体" w:hAnsi="宋体" w:eastAsia="宋体" w:cs="宋体"/>
                <w:b w:val="0"/>
                <w:bCs w:val="0"/>
                <w:sz w:val="18"/>
                <w:szCs w:val="18"/>
                <w:u w:val="single"/>
                <w:lang w:val="en-US" w:eastAsia="zh-CN" w:bidi="zh-TW"/>
              </w:rPr>
              <w:t>4</w:t>
            </w:r>
            <w:r>
              <w:rPr>
                <w:rFonts w:hint="eastAsia" w:ascii="宋体" w:hAnsi="宋体" w:eastAsia="宋体" w:cs="宋体"/>
                <w:b w:val="0"/>
                <w:bCs w:val="0"/>
                <w:sz w:val="18"/>
                <w:szCs w:val="18"/>
                <w:u w:val="single"/>
                <w:lang w:eastAsia="zh-CN" w:bidi="zh-TW"/>
              </w:rPr>
              <w:t>0号</w:t>
            </w:r>
            <w:r>
              <w:rPr>
                <w:rFonts w:hint="eastAsia" w:ascii="宋体" w:hAnsi="宋体" w:eastAsia="宋体" w:cs="宋体"/>
                <w:sz w:val="18"/>
                <w:szCs w:val="18"/>
                <w:lang w:eastAsia="zh-CN" w:bidi="zh-TW"/>
              </w:rPr>
              <w:t>”，如因供应商汇款凭证未注明采购编号造成银行无法识别响应保证金到账情况或识别错误的，其责任由供应商自行承担。</w:t>
            </w:r>
            <w:r>
              <w:rPr>
                <w:rFonts w:hint="eastAsia" w:ascii="宋体" w:hAnsi="宋体" w:eastAsia="宋体" w:cs="宋体"/>
                <w:color w:val="auto"/>
                <w:sz w:val="18"/>
                <w:szCs w:val="18"/>
                <w:lang w:eastAsia="zh-CN" w:bidi="zh-TW"/>
              </w:rPr>
              <w:t>采购人在同一时间到银行查询响应保证金到帐情况，并以银行出具的加盖公章的响应保证金到帐证明作为供应商是否按采购文件规定递交响应保证金的依据。供应商企业基本账户开户许可证或基本存款账户开户银行开具的《基本存款账户信息》上账号应与响应保证金转账回单上账号一致，否则视为未按规定提交响应保证金，其响应文件将被视为无效。</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采购人指定的响应保证金账户：</w:t>
            </w:r>
          </w:p>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default" w:ascii="宋体" w:hAnsi="宋体" w:eastAsia="宋体" w:cs="宋体"/>
                <w:color w:val="000000"/>
                <w:spacing w:val="0"/>
                <w:w w:val="100"/>
                <w:position w:val="0"/>
                <w:sz w:val="18"/>
                <w:szCs w:val="18"/>
                <w:highlight w:val="none"/>
                <w:u w:val="none"/>
                <w:shd w:val="clear" w:color="auto" w:fill="auto"/>
                <w:lang w:val="en-US" w:eastAsia="zh-CN" w:bidi="zh-TW"/>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账户名称：浦城县交通工程建设开发有限公司</w:t>
            </w:r>
          </w:p>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default" w:ascii="宋体" w:hAnsi="宋体" w:eastAsia="宋体" w:cs="宋体"/>
                <w:color w:val="000000"/>
                <w:spacing w:val="0"/>
                <w:w w:val="100"/>
                <w:position w:val="0"/>
                <w:sz w:val="18"/>
                <w:szCs w:val="18"/>
                <w:highlight w:val="none"/>
                <w:u w:val="none"/>
                <w:shd w:val="clear" w:color="auto" w:fill="auto"/>
                <w:lang w:val="en-US" w:eastAsia="zh-CN" w:bidi="zh-TW"/>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开户银行：中国建设银行股份有限公司浦城支行</w:t>
            </w:r>
          </w:p>
          <w:p>
            <w:pPr>
              <w:pStyle w:val="23"/>
              <w:ind w:firstLine="360" w:firstLineChars="200"/>
              <w:jc w:val="both"/>
              <w:rPr>
                <w:rFonts w:hint="default"/>
                <w:lang w:val="en-US" w:eastAsia="zh-CN"/>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账号：</w:t>
            </w:r>
            <w:r>
              <w:rPr>
                <w:rFonts w:hint="eastAsia" w:hAnsi="宋体" w:cs="宋体"/>
                <w:color w:val="000000"/>
                <w:spacing w:val="0"/>
                <w:w w:val="100"/>
                <w:position w:val="0"/>
                <w:sz w:val="18"/>
                <w:szCs w:val="18"/>
                <w:highlight w:val="none"/>
                <w:u w:val="none"/>
                <w:shd w:val="clear" w:color="auto" w:fill="auto"/>
                <w:lang w:val="en-US" w:eastAsia="zh-CN" w:bidi="zh-TW"/>
              </w:rPr>
              <w:t>3505 0167 7407 0000 0606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退还响应保证金的时间</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采购人将在发出成交通知书后5日内向除候选成交供应商外的其他供应商原额退还响应保证金，并在采购合同签订后5日内向成交供应商和未成交的其他候选成交供应商原额退还响应保证金。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3.4.3（3）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不退还响应保证金的其他情形</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供应商有串通、弄虚作假、行贿等违法行为的，其响应文件将被视为无效，并没收其响应保证金。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依法设立的证明材料</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资质要求证明材料</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适用。供应商应提供相关资质证书副本的复印件，以证明供应商具有承担本项目要求的资质</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资质证书包括：</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供应商须具备有效的营业执照（经营范围应包含工程造价咨询有关内容）且供应商必须在福建住房和城乡建设网的福建省建设行业信息公开平台的工程造价企业或省外造价企业栏目中查询得到，并具有独立法人资格。（供应商应在响应文件中须提供合格有效的造价咨询营业执照复印件及供应商在“福建省建设行业信息公开平台-企业信息-工程造价（或省外造价企业）”登记的网页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财务要求证明材料</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适用。供应商应提供经会计事务所或审计机构审计的近年财务会计报表复印件，包括资产负债表、现金流量表、利润表等。近年财务会计报表年份是指    至    年（供应商的成立时间少于该规定年份的，应提供成立以来的财务会计报表）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提供近年中任意一年财务会计报表复印件，包括资产负债表、利润表。近年财务会计报表年份是指：2021年1月1日至2023年12月31日。（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业绩要求证明材料</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至</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年</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业绩证明材料：</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合同/订单</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中标通知书/成交通知书</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竣工验收报告/验收证明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业主证明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其他材料：</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业绩证明材料种类要求：</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提供上述勾选的任一项证明材料即可</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需同时提供上述勾选的所有证明材料</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其他要求：</w:t>
            </w:r>
            <w:r>
              <w:rPr>
                <w:rFonts w:hint="eastAsia" w:ascii="宋体" w:hAnsi="宋体" w:eastAsia="宋体" w:cs="宋体"/>
                <w:sz w:val="18"/>
                <w:szCs w:val="1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信誉要求证明材料</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 xml:space="preserve">适用。供应商应提供相关信誉情况的证明材料，包括： </w:t>
            </w:r>
            <w:r>
              <w:rPr>
                <w:rFonts w:hint="eastAsia" w:ascii="宋体" w:hAnsi="宋体" w:eastAsia="宋体" w:cs="宋体"/>
                <w:color w:val="000000"/>
                <w:spacing w:val="0"/>
                <w:w w:val="100"/>
                <w:position w:val="0"/>
                <w:sz w:val="18"/>
                <w:szCs w:val="18"/>
                <w:u w:val="single"/>
                <w:shd w:val="clear" w:color="auto" w:fill="auto"/>
                <w:lang w:val="en-US" w:eastAsia="zh-CN" w:bidi="zh-TW"/>
              </w:rPr>
              <w:t>（1）通过中国执行信息公开网（网址： zxgk.court.gov.cn/shixin）查询供应商（不包括其分支机构）截止采购文件发出当日，未被人民法院列为“失信被执行人 ”网页截图。</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single"/>
                <w:shd w:val="clear" w:color="auto" w:fill="auto"/>
                <w:lang w:val="en-US" w:eastAsia="zh-CN" w:bidi="zh-TW"/>
              </w:rPr>
              <w:t>（2）通过国家企业信用信息公示系统（网址： www.gsxt.gov.cn）查询供应商（不包括其分支机构）截止采购文件发出当日，未被工商行政管理机关列为 ） “严重违法失信企业名单”网页截图。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承担本项目的主要人员</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要求证明材料</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宋体" w:hAnsi="宋体" w:eastAsia="宋体" w:cs="宋体"/>
                <w:sz w:val="18"/>
                <w:szCs w:val="18"/>
                <w:u w:val="single"/>
                <w:vertAlign w:val="baseline"/>
                <w:lang w:val="en-US" w:eastAsia="zh-CN"/>
              </w:rPr>
              <w:t>拟担任本项目的项目负责人应具备有效的 一级注册造价工程师执业证书。拟担任本项目的项目负责人必须为供应商的本企业在岗人员，以建设主管部门颁发的注册执业证书扫描件或社保管理部门出具的自本采购项目响应文件递交截止之日的上一个月为始点并往前追溯连续缴费累计三个月及以上扫描件所署单位为准。社保由上级单位统筹缴纳的，还应提供上级单位出具的统筹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3.5（7）</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其他要求的证明材料</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3.5（8）</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供应商不存在的第一章3.2款情形的证明材料</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不需提供证明材料</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需要提供证明材料，包括：</w:t>
            </w:r>
            <w:r>
              <w:rPr>
                <w:rFonts w:hint="eastAsia" w:ascii="宋体" w:hAnsi="宋体" w:eastAsia="宋体" w:cs="宋体"/>
                <w:sz w:val="18"/>
                <w:szCs w:val="1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联合体要求的证明材料</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3.6.1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对关键条款进行响应的证据或证明材料要求</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3.7.5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响应文件正本、副本份数及电子版要求</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响应文件正本</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1 </w:t>
            </w:r>
            <w:r>
              <w:rPr>
                <w:rFonts w:hint="eastAsia" w:ascii="宋体" w:hAnsi="宋体" w:eastAsia="宋体" w:cs="宋体"/>
                <w:color w:val="000000"/>
                <w:spacing w:val="0"/>
                <w:w w:val="100"/>
                <w:position w:val="0"/>
                <w:sz w:val="18"/>
                <w:szCs w:val="18"/>
                <w:u w:val="none"/>
                <w:shd w:val="clear" w:color="auto" w:fill="auto"/>
                <w:lang w:val="en-US" w:eastAsia="zh-CN" w:bidi="zh-TW"/>
              </w:rPr>
              <w:t>份，副本</w:t>
            </w:r>
            <w:r>
              <w:rPr>
                <w:rFonts w:hint="eastAsia" w:ascii="宋体" w:hAnsi="宋体" w:eastAsia="宋体" w:cs="宋体"/>
                <w:sz w:val="18"/>
                <w:szCs w:val="18"/>
                <w:u w:val="single"/>
                <w:vertAlign w:val="baseline"/>
                <w:lang w:val="en-US" w:eastAsia="zh-CN"/>
              </w:rPr>
              <w:t xml:space="preserve"> 2 </w:t>
            </w:r>
            <w:r>
              <w:rPr>
                <w:rFonts w:hint="eastAsia" w:ascii="宋体" w:hAnsi="宋体" w:eastAsia="宋体" w:cs="宋体"/>
                <w:color w:val="000000"/>
                <w:spacing w:val="0"/>
                <w:w w:val="100"/>
                <w:position w:val="0"/>
                <w:sz w:val="18"/>
                <w:szCs w:val="18"/>
                <w:u w:val="none"/>
                <w:shd w:val="clear" w:color="auto" w:fill="auto"/>
                <w:lang w:val="en-US" w:eastAsia="zh-CN" w:bidi="zh-TW"/>
              </w:rPr>
              <w:t>份。</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是否要求提供电子版响应文件：</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不要求</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要求，提供电子版相应文件的形式：</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3.7.6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分册装订要求</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en-US" w:bidi="zh-TW"/>
              </w:rPr>
              <w:t>1、</w:t>
            </w:r>
            <w:r>
              <w:rPr>
                <w:rFonts w:hint="eastAsia" w:ascii="宋体" w:hAnsi="宋体" w:eastAsia="宋体" w:cs="宋体"/>
                <w:color w:val="000000"/>
                <w:spacing w:val="0"/>
                <w:w w:val="100"/>
                <w:position w:val="0"/>
                <w:sz w:val="18"/>
                <w:szCs w:val="18"/>
                <w:u w:val="none"/>
                <w:shd w:val="clear" w:color="auto" w:fill="auto"/>
                <w:lang w:val="en-US" w:eastAsia="zh-CN" w:bidi="zh-TW"/>
              </w:rPr>
              <w:t>响应文件应编制目录且标注页码，并逐页加盖供应商单位公章，纸质响应文件不得采用活页夹装订。</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2、响应文件须装订成册后密封，密封处均应盖有供应商法定代表人印章和供应商公章。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4.1.2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封套上应载明的信息</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sz w:val="18"/>
                <w:szCs w:val="18"/>
                <w:u w:val="single"/>
                <w:vertAlign w:val="baseline"/>
                <w:lang w:val="en-US" w:eastAsia="zh-CN"/>
              </w:rPr>
              <w:t xml:space="preserve">         （项目名称）</w:t>
            </w:r>
            <w:r>
              <w:rPr>
                <w:rFonts w:hint="eastAsia" w:ascii="宋体" w:hAnsi="宋体" w:eastAsia="宋体" w:cs="宋体"/>
                <w:color w:val="000000"/>
                <w:spacing w:val="0"/>
                <w:w w:val="100"/>
                <w:position w:val="0"/>
                <w:sz w:val="18"/>
                <w:szCs w:val="18"/>
                <w:u w:val="none"/>
                <w:shd w:val="clear" w:color="auto" w:fill="auto"/>
                <w:lang w:val="en-US" w:eastAsia="zh-CN" w:bidi="zh-TW"/>
              </w:rPr>
              <w:t>响应文件</w:t>
            </w:r>
          </w:p>
          <w:p>
            <w:pPr>
              <w:pStyle w:val="10"/>
              <w:spacing w:line="240" w:lineRule="auto"/>
              <w:ind w:firstLine="360" w:firstLineChars="200"/>
              <w:rPr>
                <w:rFonts w:hint="eastAsia"/>
                <w:lang w:val="en-US" w:eastAsia="zh-CN"/>
              </w:rPr>
            </w:pPr>
            <w:r>
              <w:rPr>
                <w:rFonts w:hint="eastAsia" w:ascii="宋体" w:hAnsi="宋体" w:eastAsia="Times New Roman" w:cs="Times New Roman"/>
                <w:sz w:val="18"/>
                <w:szCs w:val="18"/>
                <w:lang w:val="en-US" w:eastAsia="zh-CN"/>
              </w:rPr>
              <w:t>采购编号</w:t>
            </w:r>
            <w:r>
              <w:rPr>
                <w:rFonts w:hint="eastAsia" w:ascii="宋体" w:hAnsi="宋体" w:eastAsia="宋体" w:cs="宋体"/>
                <w:color w:val="000000"/>
                <w:spacing w:val="0"/>
                <w:w w:val="100"/>
                <w:position w:val="0"/>
                <w:sz w:val="18"/>
                <w:szCs w:val="18"/>
                <w:u w:val="none"/>
                <w:shd w:val="clear" w:color="auto" w:fill="auto"/>
                <w:lang w:val="en-US" w:eastAsia="zh-CN" w:bidi="zh-TW"/>
              </w:rPr>
              <w:t>：</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w:t>
            </w:r>
            <w:r>
              <w:rPr>
                <w:rFonts w:hint="eastAsia" w:ascii="宋体" w:hAnsi="宋体" w:eastAsia="Times New Roman" w:cs="Times New Roman"/>
                <w:sz w:val="18"/>
                <w:szCs w:val="18"/>
                <w:lang w:val="en-US" w:eastAsia="zh-CN"/>
              </w:rPr>
              <w:t>应</w:t>
            </w:r>
            <w:r>
              <w:rPr>
                <w:rFonts w:hint="eastAsia" w:ascii="宋体" w:hAnsi="宋体" w:eastAsia="宋体" w:cs="宋体"/>
                <w:color w:val="000000"/>
                <w:spacing w:val="0"/>
                <w:w w:val="100"/>
                <w:position w:val="0"/>
                <w:sz w:val="18"/>
                <w:szCs w:val="18"/>
                <w:u w:val="none"/>
                <w:shd w:val="clear" w:color="auto" w:fill="auto"/>
                <w:lang w:val="en-US" w:eastAsia="zh-CN" w:bidi="zh-TW"/>
              </w:rPr>
              <w:t>商名称：</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Times New Roman" w:cs="Times New Roman"/>
                <w:sz w:val="18"/>
                <w:szCs w:val="18"/>
                <w:lang w:val="en-US" w:eastAsia="zh-CN"/>
              </w:rPr>
              <w:t>响应文件开启时间：</w:t>
            </w:r>
            <w:r>
              <w:rPr>
                <w:rFonts w:hint="eastAsia" w:ascii="宋体" w:hAnsi="宋体" w:eastAsia="宋体" w:cs="宋体"/>
                <w:sz w:val="18"/>
                <w:szCs w:val="18"/>
                <w:u w:val="single"/>
                <w:vertAlign w:val="baseline"/>
                <w:lang w:val="en-US" w:eastAsia="zh-CN"/>
              </w:rPr>
              <w:t xml:space="preserve">                </w:t>
            </w:r>
            <w:r>
              <w:rPr>
                <w:rFonts w:hint="eastAsia"/>
                <w:lang w:val="en-US" w:eastAsia="zh-CN"/>
              </w:rPr>
              <w:t xml:space="preserve"> </w:t>
            </w:r>
          </w:p>
          <w:p>
            <w:pPr>
              <w:pStyle w:val="10"/>
              <w:spacing w:line="240" w:lineRule="auto"/>
              <w:rPr>
                <w:rFonts w:hint="default"/>
                <w:lang w:val="en-US" w:eastAsia="zh-CN"/>
              </w:rPr>
            </w:pPr>
            <w:r>
              <w:rPr>
                <w:rFonts w:hint="eastAsia"/>
                <w:lang w:val="en-US" w:eastAsia="zh-CN"/>
              </w:rPr>
              <w:t xml:space="preserve">   </w:t>
            </w:r>
          </w:p>
          <w:p>
            <w:pPr>
              <w:pStyle w:val="10"/>
              <w:spacing w:line="240" w:lineRule="auto"/>
              <w:rPr>
                <w:rFonts w:hint="default"/>
                <w:lang w:val="en-US" w:eastAsia="zh-CN"/>
              </w:rPr>
            </w:pPr>
            <w:r>
              <w:rPr>
                <w:rFonts w:hint="eastAsia"/>
                <w:lang w:val="en-US" w:eastAsia="zh-CN"/>
              </w:rPr>
              <w:t xml:space="preserve">   </w:t>
            </w:r>
            <w:r>
              <w:rPr>
                <w:rFonts w:hint="eastAsia" w:ascii="宋体" w:hAnsi="宋体" w:eastAsia="Times New Roman" w:cs="Times New Roman"/>
                <w:sz w:val="18"/>
                <w:szCs w:val="18"/>
                <w:lang w:val="en-US" w:eastAsia="zh-CN"/>
              </w:rPr>
              <w:t>由供应商造成响应文件误投、遗漏或提前拆封的，其责任由供应商自行承担。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4.2.1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递交响应文件的截止时间和地点</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截止时间：</w:t>
            </w:r>
            <w:r>
              <w:rPr>
                <w:rFonts w:hint="eastAsia" w:ascii="宋体" w:hAnsi="宋体" w:eastAsia="宋体" w:cs="宋体"/>
                <w:sz w:val="18"/>
                <w:szCs w:val="18"/>
                <w:u w:val="single"/>
                <w:vertAlign w:val="baseline"/>
                <w:lang w:val="en-US" w:eastAsia="zh-CN"/>
              </w:rPr>
              <w:t xml:space="preserve"> 2024年 5 月 31 日15时00分</w:t>
            </w:r>
          </w:p>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sz w:val="18"/>
                <w:szCs w:val="18"/>
                <w:u w:val="none"/>
                <w:vertAlign w:val="baseline"/>
                <w:lang w:val="en-US" w:eastAsia="zh-CN"/>
              </w:rPr>
              <w:t>地点：</w:t>
            </w:r>
            <w:r>
              <w:rPr>
                <w:rFonts w:hint="eastAsia" w:ascii="宋体" w:hAnsi="宋体" w:eastAsia="宋体" w:cs="宋体"/>
                <w:sz w:val="18"/>
                <w:szCs w:val="18"/>
                <w:u w:val="single"/>
                <w:vertAlign w:val="baseline"/>
                <w:lang w:val="en-US" w:eastAsia="zh-CN"/>
              </w:rPr>
              <w:t xml:space="preserve"> 南平市浦城县梦笔大道316号3幢浦城县行政服务中心四层开标室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是否退还响应文件</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否</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 xml:space="preserve">是，退还时间：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4.3.3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供应商撤回响应文件情况下退还响应保证金的时间</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color w:val="000000"/>
                <w:spacing w:val="0"/>
                <w:w w:val="100"/>
                <w:position w:val="0"/>
                <w:sz w:val="18"/>
                <w:szCs w:val="18"/>
                <w:u w:val="none"/>
                <w:shd w:val="clear" w:color="auto" w:fill="auto"/>
                <w:lang w:val="en-US" w:eastAsia="zh-CN" w:bidi="zh-TW"/>
              </w:rPr>
              <w:t>自采购人收到供应商递交的书面通知之日起</w:t>
            </w:r>
            <w:r>
              <w:rPr>
                <w:rFonts w:hint="eastAsia" w:ascii="宋体" w:hAnsi="宋体" w:eastAsia="宋体" w:cs="宋体"/>
                <w:sz w:val="18"/>
                <w:szCs w:val="18"/>
                <w:u w:val="single"/>
                <w:vertAlign w:val="baseline"/>
                <w:lang w:val="en-US" w:eastAsia="zh-CN"/>
              </w:rPr>
              <w:t xml:space="preserve"> 5</w:t>
            </w:r>
            <w:r>
              <w:rPr>
                <w:rFonts w:hint="eastAsia" w:ascii="宋体" w:hAnsi="宋体" w:eastAsia="宋体" w:cs="宋体"/>
                <w:color w:val="000000"/>
                <w:spacing w:val="0"/>
                <w:w w:val="100"/>
                <w:position w:val="0"/>
                <w:sz w:val="18"/>
                <w:szCs w:val="18"/>
                <w:u w:val="none"/>
                <w:shd w:val="clear" w:color="auto" w:fill="auto"/>
                <w:lang w:val="en-US" w:eastAsia="zh-CN" w:bidi="zh-TW"/>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5.2（4）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开启程序</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开启顺序：</w:t>
            </w:r>
            <w:r>
              <w:rPr>
                <w:rFonts w:hint="eastAsia" w:ascii="宋体" w:hAnsi="宋体" w:eastAsia="宋体" w:cs="宋体"/>
                <w:sz w:val="18"/>
                <w:szCs w:val="18"/>
                <w:u w:val="single"/>
                <w:vertAlign w:val="baseline"/>
                <w:lang w:val="en-US" w:eastAsia="zh-CN"/>
              </w:rPr>
              <w:t xml:space="preserve"> 按供应商递交响应文件的顺序</w:t>
            </w:r>
          </w:p>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default" w:ascii="宋体" w:hAnsi="宋体" w:eastAsia="宋体" w:cs="宋体"/>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其他应公布的信息：</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5.3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递交响应文件的供应商不足的情形</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成交供应商为多家时，供应商不足的数量要求：</w:t>
            </w:r>
            <w:r>
              <w:rPr>
                <w:rFonts w:hint="eastAsia" w:ascii="宋体" w:hAnsi="宋体" w:eastAsia="宋体" w:cs="宋体"/>
                <w:sz w:val="18"/>
                <w:szCs w:val="18"/>
                <w:u w:val="single"/>
                <w:vertAlign w:val="baseline"/>
                <w:lang w:val="en-US" w:eastAsia="zh-CN"/>
              </w:rPr>
              <w:t xml:space="preserve"> / </w:t>
            </w:r>
            <w:r>
              <w:rPr>
                <w:rFonts w:hint="eastAsia" w:ascii="宋体" w:hAnsi="宋体" w:eastAsia="宋体" w:cs="宋体"/>
                <w:color w:val="000000"/>
                <w:spacing w:val="0"/>
                <w:w w:val="100"/>
                <w:position w:val="0"/>
                <w:sz w:val="18"/>
                <w:szCs w:val="18"/>
                <w:u w:val="none"/>
                <w:shd w:val="clear" w:color="auto" w:fill="auto"/>
                <w:lang w:val="en-US" w:eastAsia="zh-CN" w:bidi="zh-TW"/>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6.2.2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推荐候选成交供应商的排序及数量</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是否排序：</w:t>
            </w:r>
          </w:p>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eastAsia="宋体"/>
                <w:sz w:val="18"/>
                <w:szCs w:val="18"/>
                <w:u w:val="single"/>
                <w:vertAlign w:val="baseline"/>
                <w:lang w:val="en-US" w:eastAsia="zh-CN"/>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排序</w:t>
            </w:r>
          </w:p>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不排序</w:t>
            </w:r>
          </w:p>
          <w:p>
            <w:pPr>
              <w:pageBreakBefore w:val="0"/>
              <w:widowControl w:val="0"/>
              <w:numPr>
                <w:ilvl w:val="0"/>
                <w:numId w:val="0"/>
              </w:numPr>
              <w:kinsoku/>
              <w:overflowPunct/>
              <w:topLinePunct w:val="0"/>
              <w:autoSpaceDE/>
              <w:autoSpaceDN/>
              <w:bidi w:val="0"/>
              <w:adjustRightInd/>
              <w:snapToGrid/>
              <w:spacing w:before="0" w:after="0" w:line="360" w:lineRule="auto"/>
              <w:ind w:left="0" w:leftChars="0" w:right="0" w:rightChars="0" w:firstLine="360" w:firstLineChars="200"/>
              <w:jc w:val="both"/>
              <w:textAlignment w:val="auto"/>
              <w:rPr>
                <w:rFonts w:hint="eastAsia" w:ascii="Times New Roman" w:hAnsi="Times New Roman" w:eastAsia="宋体" w:cs="Times New Roman"/>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color w:val="000000"/>
                <w:spacing w:val="0"/>
                <w:w w:val="100"/>
                <w:position w:val="0"/>
                <w:sz w:val="18"/>
                <w:szCs w:val="18"/>
                <w:u w:val="none"/>
                <w:shd w:val="clear" w:color="auto" w:fill="auto"/>
                <w:lang w:val="en-US" w:eastAsia="zh-CN" w:bidi="zh-TW"/>
              </w:rPr>
              <w:t>数量：</w:t>
            </w:r>
            <w:r>
              <w:rPr>
                <w:rFonts w:hint="eastAsia" w:eastAsia="宋体"/>
                <w:sz w:val="18"/>
                <w:szCs w:val="18"/>
                <w:u w:val="single"/>
                <w:vertAlign w:val="baseline"/>
                <w:lang w:val="en-US" w:eastAsia="zh-CN"/>
              </w:rPr>
              <w:t xml:space="preserve"> 3家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预成交结果公示</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公示媒介：</w:t>
            </w:r>
            <w:r>
              <w:rPr>
                <w:rFonts w:hint="eastAsia" w:eastAsia="宋体"/>
                <w:sz w:val="18"/>
                <w:szCs w:val="18"/>
                <w:highlight w:val="none"/>
                <w:u w:val="single"/>
                <w:vertAlign w:val="baseline"/>
                <w:lang w:val="en-US" w:eastAsia="zh-CN"/>
              </w:rPr>
              <w:t xml:space="preserve"> 中国招标投标公共服务平台（http://www.cebpubservice.com）、南平市公共资源交易中心平台(http://ggzy.npgoy.cn/npztb/)、福建省国资采购平台（https://ygcg.fjcqjy.com/）、随行易交易电子招标投标交易平台（https://www.enjoy5191.com）</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公示期限：</w:t>
            </w:r>
            <w:r>
              <w:rPr>
                <w:rFonts w:hint="eastAsia" w:eastAsia="宋体"/>
                <w:sz w:val="18"/>
                <w:szCs w:val="18"/>
                <w:u w:val="single"/>
                <w:vertAlign w:val="baseline"/>
                <w:lang w:val="en-US" w:eastAsia="zh-CN"/>
              </w:rPr>
              <w:t xml:space="preserve"> 自发布公示之日起</w:t>
            </w:r>
            <w:r>
              <w:rPr>
                <w:rFonts w:hint="eastAsia" w:eastAsia="宋体"/>
                <w:b/>
                <w:bCs/>
                <w:sz w:val="18"/>
                <w:szCs w:val="18"/>
                <w:highlight w:val="none"/>
                <w:u w:val="single"/>
                <w:vertAlign w:val="baseline"/>
                <w:lang w:val="en-US" w:eastAsia="zh-CN"/>
              </w:rPr>
              <w:t>3</w:t>
            </w:r>
            <w:r>
              <w:rPr>
                <w:rFonts w:hint="eastAsia" w:eastAsia="宋体"/>
                <w:sz w:val="18"/>
                <w:szCs w:val="18"/>
                <w:highlight w:val="none"/>
                <w:u w:val="single"/>
                <w:vertAlign w:val="baseline"/>
                <w:lang w:val="en-US" w:eastAsia="zh-CN"/>
              </w:rPr>
              <w:t>个</w:t>
            </w:r>
            <w:r>
              <w:rPr>
                <w:rFonts w:hint="eastAsia" w:eastAsia="宋体"/>
                <w:sz w:val="18"/>
                <w:szCs w:val="18"/>
                <w:u w:val="single"/>
                <w:vertAlign w:val="baseline"/>
                <w:lang w:val="en-US" w:eastAsia="zh-CN"/>
              </w:rPr>
              <w:t xml:space="preserve">日历天  </w:t>
            </w:r>
          </w:p>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Times New Roman" w:hAnsi="Times New Roman" w:eastAsia="宋体" w:cs="Times New Roman"/>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其他应公示的内容</w:t>
            </w:r>
            <w:r>
              <w:rPr>
                <w:rFonts w:hint="eastAsia" w:eastAsia="宋体"/>
                <w:sz w:val="18"/>
                <w:szCs w:val="18"/>
                <w:u w:val="none"/>
                <w:vertAlign w:val="baseline"/>
                <w:lang w:val="en-US" w:eastAsia="zh-CN"/>
              </w:rPr>
              <w:t>：</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发布成交公告</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公告媒介：</w:t>
            </w:r>
            <w:r>
              <w:rPr>
                <w:rFonts w:hint="eastAsia" w:eastAsia="宋体"/>
                <w:sz w:val="18"/>
                <w:szCs w:val="18"/>
                <w:highlight w:val="none"/>
                <w:u w:val="single"/>
                <w:vertAlign w:val="baseline"/>
                <w:lang w:val="en-US" w:eastAsia="zh-CN"/>
              </w:rPr>
              <w:t xml:space="preserve"> 中国招标投标公共服务平台（http://www.cebpubservice.com）、南平市公共资源交易中心平台(http://ggzy.npgoy.cn/npztb/)、福建省国资采购平台（https://ygcg.fjcqjy.com/）、随行易交易电子招标投标交易平台（https://www.enjoy5191.com）</w:t>
            </w:r>
          </w:p>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Times New Roman" w:hAnsi="Times New Roman" w:eastAsia="宋体" w:cs="Times New Roman"/>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其他应公告的内容：</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履约保证金</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不要求递交</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要求递交</w:t>
            </w:r>
          </w:p>
          <w:p>
            <w:pPr>
              <w:widowControl w:val="0"/>
              <w:kinsoku/>
              <w:autoSpaceDE/>
              <w:autoSpaceDN/>
              <w:adjustRightInd/>
              <w:snapToGrid/>
              <w:ind w:firstLine="360" w:firstLineChars="200"/>
              <w:jc w:val="both"/>
              <w:textAlignment w:val="auto"/>
              <w:rPr>
                <w:rFonts w:ascii="宋体" w:hAnsi="宋体" w:eastAsia="宋体" w:cs="宋体"/>
                <w:sz w:val="18"/>
                <w:szCs w:val="18"/>
                <w:lang w:bidi="zh-TW"/>
              </w:rPr>
            </w:pPr>
            <w:r>
              <w:rPr>
                <w:rFonts w:hint="eastAsia" w:ascii="宋体" w:hAnsi="宋体" w:eastAsia="宋体" w:cs="宋体"/>
                <w:sz w:val="18"/>
                <w:szCs w:val="18"/>
                <w:lang w:bidi="zh-TW"/>
              </w:rPr>
              <w:t>履约保证金金额：</w:t>
            </w:r>
            <w:r>
              <w:rPr>
                <w:rFonts w:hint="eastAsia" w:ascii="宋体" w:hAnsi="宋体" w:eastAsia="宋体" w:cs="宋体"/>
                <w:sz w:val="18"/>
                <w:szCs w:val="18"/>
                <w:u w:val="single"/>
                <w:lang w:bidi="zh-TW"/>
              </w:rPr>
              <w:t xml:space="preserve"> </w:t>
            </w:r>
            <w:r>
              <w:rPr>
                <w:rFonts w:hint="eastAsia" w:ascii="宋体" w:hAnsi="宋体" w:eastAsia="宋体" w:cs="宋体"/>
                <w:sz w:val="18"/>
                <w:szCs w:val="18"/>
                <w:highlight w:val="none"/>
                <w:u w:val="single"/>
                <w:lang w:bidi="zh-TW"/>
              </w:rPr>
              <w:t>签约合同价的</w:t>
            </w:r>
            <w:r>
              <w:rPr>
                <w:rFonts w:hint="eastAsia" w:ascii="宋体" w:hAnsi="宋体" w:eastAsia="宋体" w:cs="宋体"/>
                <w:sz w:val="18"/>
                <w:szCs w:val="18"/>
                <w:highlight w:val="none"/>
                <w:u w:val="single"/>
                <w:lang w:val="en-US" w:eastAsia="zh-CN" w:bidi="zh-TW"/>
              </w:rPr>
              <w:t>5</w:t>
            </w:r>
            <w:r>
              <w:rPr>
                <w:rFonts w:hint="eastAsia" w:ascii="宋体" w:hAnsi="宋体" w:eastAsia="宋体" w:cs="宋体"/>
                <w:sz w:val="18"/>
                <w:szCs w:val="18"/>
                <w:highlight w:val="none"/>
                <w:u w:val="single"/>
                <w:lang w:bidi="zh-TW"/>
              </w:rPr>
              <w:t xml:space="preserve">% </w:t>
            </w:r>
          </w:p>
          <w:p>
            <w:pPr>
              <w:widowControl w:val="0"/>
              <w:kinsoku/>
              <w:autoSpaceDE/>
              <w:autoSpaceDN/>
              <w:adjustRightInd/>
              <w:snapToGrid/>
              <w:ind w:firstLine="360" w:firstLineChars="200"/>
              <w:jc w:val="both"/>
              <w:textAlignment w:val="auto"/>
              <w:rPr>
                <w:rFonts w:ascii="宋体" w:hAnsi="宋体" w:eastAsia="宋体" w:cs="宋体"/>
                <w:sz w:val="18"/>
                <w:szCs w:val="18"/>
                <w:u w:val="single"/>
                <w:lang w:bidi="zh-TW"/>
              </w:rPr>
            </w:pPr>
            <w:r>
              <w:rPr>
                <w:rFonts w:hint="eastAsia" w:ascii="宋体" w:hAnsi="宋体" w:eastAsia="宋体" w:cs="宋体"/>
                <w:sz w:val="18"/>
                <w:szCs w:val="18"/>
                <w:lang w:bidi="zh-TW"/>
              </w:rPr>
              <w:t>履约保证金形式：</w:t>
            </w:r>
            <w:r>
              <w:rPr>
                <w:rFonts w:hint="eastAsia" w:ascii="宋体" w:hAnsi="宋体" w:eastAsia="宋体" w:cs="宋体"/>
                <w:sz w:val="18"/>
                <w:szCs w:val="18"/>
                <w:u w:val="single"/>
                <w:lang w:bidi="zh-TW"/>
              </w:rPr>
              <w:t xml:space="preserve"> 可以选择现金、银行保函等形式之一  </w:t>
            </w:r>
          </w:p>
          <w:p>
            <w:pPr>
              <w:widowControl w:val="0"/>
              <w:kinsoku/>
              <w:autoSpaceDE/>
              <w:autoSpaceDN/>
              <w:adjustRightInd/>
              <w:snapToGrid/>
              <w:ind w:firstLine="360" w:firstLineChars="200"/>
              <w:jc w:val="both"/>
              <w:textAlignment w:val="auto"/>
              <w:rPr>
                <w:rFonts w:ascii="宋体" w:hAnsi="宋体" w:eastAsia="宋体" w:cs="宋体"/>
                <w:sz w:val="18"/>
                <w:szCs w:val="18"/>
                <w:lang w:bidi="zh-TW"/>
              </w:rPr>
            </w:pPr>
            <w:r>
              <w:rPr>
                <w:rFonts w:hint="eastAsia" w:ascii="宋体" w:hAnsi="宋体" w:eastAsia="宋体" w:cs="宋体"/>
                <w:sz w:val="18"/>
                <w:szCs w:val="18"/>
                <w:lang w:bidi="zh-TW"/>
              </w:rPr>
              <w:t>履约保证金有效期限：</w:t>
            </w:r>
            <w:r>
              <w:rPr>
                <w:rFonts w:hint="eastAsia" w:ascii="宋体" w:hAnsi="宋体" w:eastAsia="宋体" w:cs="宋体"/>
                <w:sz w:val="18"/>
                <w:szCs w:val="18"/>
                <w:u w:val="single"/>
                <w:lang w:bidi="zh-TW"/>
              </w:rPr>
              <w:t>与服务周期相同（若服务周期延长，履约担保金期限也相应延长）</w:t>
            </w:r>
          </w:p>
          <w:p>
            <w:pPr>
              <w:widowControl w:val="0"/>
              <w:kinsoku/>
              <w:autoSpaceDE/>
              <w:autoSpaceDN/>
              <w:adjustRightInd/>
              <w:snapToGrid/>
              <w:ind w:firstLine="360" w:firstLineChars="200"/>
              <w:jc w:val="both"/>
              <w:textAlignment w:val="auto"/>
              <w:rPr>
                <w:rFonts w:ascii="宋体" w:hAnsi="宋体" w:eastAsia="宋体" w:cs="宋体"/>
                <w:sz w:val="18"/>
                <w:szCs w:val="18"/>
                <w:u w:val="single"/>
                <w:lang w:bidi="zh-TW"/>
              </w:rPr>
            </w:pPr>
            <w:r>
              <w:rPr>
                <w:rFonts w:hint="eastAsia" w:ascii="宋体" w:hAnsi="宋体" w:eastAsia="宋体" w:cs="宋体"/>
                <w:sz w:val="18"/>
                <w:szCs w:val="18"/>
                <w:lang w:bidi="zh-TW"/>
              </w:rPr>
              <w:t>递交时间：</w:t>
            </w:r>
            <w:r>
              <w:rPr>
                <w:rFonts w:hint="eastAsia" w:ascii="宋体" w:hAnsi="宋体" w:eastAsia="宋体" w:cs="宋体"/>
                <w:sz w:val="18"/>
                <w:szCs w:val="18"/>
                <w:u w:val="single"/>
                <w:lang w:bidi="zh-TW"/>
              </w:rPr>
              <w:t>中标通知书发出后30天内</w:t>
            </w:r>
          </w:p>
          <w:p>
            <w:pPr>
              <w:pStyle w:val="23"/>
              <w:jc w:val="both"/>
              <w:rPr>
                <w:rFonts w:hint="eastAsia"/>
                <w:lang w:val="en-US" w:eastAsia="zh-CN"/>
              </w:rPr>
            </w:pPr>
            <w:r>
              <w:rPr>
                <w:rFonts w:hint="eastAsia" w:ascii="宋体" w:hAnsi="宋体" w:eastAsia="宋体" w:cs="宋体"/>
                <w:sz w:val="18"/>
                <w:szCs w:val="18"/>
                <w:lang w:bidi="zh-TW"/>
              </w:rPr>
              <w:t>退还时间：</w:t>
            </w:r>
            <w:r>
              <w:rPr>
                <w:rFonts w:hint="eastAsia" w:ascii="宋体" w:hAnsi="宋体" w:eastAsia="宋体" w:cs="宋体"/>
                <w:sz w:val="18"/>
                <w:szCs w:val="18"/>
                <w:u w:val="single"/>
                <w:lang w:bidi="zh-TW"/>
              </w:rPr>
              <w:t>履约保证金将在服务期满且中标人的合同义务已履行完毕并经</w:t>
            </w:r>
            <w:r>
              <w:rPr>
                <w:rFonts w:hint="eastAsia" w:ascii="宋体" w:hAnsi="宋体" w:eastAsia="宋体" w:cs="宋体"/>
                <w:sz w:val="18"/>
                <w:szCs w:val="18"/>
                <w:u w:val="single"/>
                <w:lang w:val="en-US" w:eastAsia="zh-CN" w:bidi="zh-TW"/>
              </w:rPr>
              <w:t>采购人</w:t>
            </w:r>
            <w:r>
              <w:rPr>
                <w:rFonts w:hint="eastAsia" w:ascii="宋体" w:hAnsi="宋体" w:eastAsia="宋体" w:cs="宋体"/>
                <w:sz w:val="18"/>
                <w:szCs w:val="18"/>
                <w:u w:val="single"/>
                <w:lang w:bidi="zh-TW"/>
              </w:rPr>
              <w:t>确认后全额无息退还。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8.1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异议渠道</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1350" w:leftChars="150" w:right="0" w:hanging="990" w:hangingChars="5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9"/>
                <w:w w:val="100"/>
                <w:kern w:val="0"/>
                <w:position w:val="0"/>
                <w:sz w:val="18"/>
                <w:szCs w:val="18"/>
                <w:u w:val="none"/>
                <w:shd w:val="clear" w:color="auto" w:fill="auto"/>
                <w:fitText w:val="3780" w:id="1881036431"/>
                <w:lang w:val="en-US" w:eastAsia="zh-CN" w:bidi="zh-TW"/>
              </w:rPr>
              <w:t>联系人：</w:t>
            </w:r>
            <w:r>
              <w:rPr>
                <w:rFonts w:hint="eastAsia" w:eastAsia="宋体"/>
                <w:spacing w:val="9"/>
                <w:w w:val="97"/>
                <w:kern w:val="0"/>
                <w:sz w:val="18"/>
                <w:szCs w:val="18"/>
                <w:u w:val="single"/>
                <w:fitText w:val="3780" w:id="1881036431"/>
                <w:vertAlign w:val="baseline"/>
                <w:lang w:val="en-US" w:eastAsia="zh-CN"/>
              </w:rPr>
              <w:t>浦城县交通工程建设开发有限公司</w:t>
            </w:r>
            <w:r>
              <w:rPr>
                <w:rFonts w:hint="eastAsia" w:eastAsia="宋体"/>
                <w:spacing w:val="6"/>
                <w:w w:val="100"/>
                <w:kern w:val="0"/>
                <w:sz w:val="18"/>
                <w:szCs w:val="18"/>
                <w:u w:val="single"/>
                <w:fitText w:val="3780" w:id="1881036431"/>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联系电话：</w:t>
            </w:r>
            <w:r>
              <w:rPr>
                <w:rFonts w:hint="eastAsia" w:eastAsia="宋体"/>
                <w:sz w:val="18"/>
                <w:szCs w:val="18"/>
                <w:highlight w:val="none"/>
                <w:u w:val="single"/>
                <w:vertAlign w:val="baseline"/>
                <w:lang w:val="en-US" w:eastAsia="zh-CN"/>
              </w:rPr>
              <w:t>18750733646</w:t>
            </w:r>
          </w:p>
          <w:p>
            <w:pPr>
              <w:pageBreakBefore w:val="0"/>
              <w:widowControl w:val="0"/>
              <w:numPr>
                <w:ilvl w:val="0"/>
                <w:numId w:val="0"/>
              </w:numPr>
              <w:kinsoku/>
              <w:overflowPunct/>
              <w:topLinePunct w:val="0"/>
              <w:autoSpaceDE/>
              <w:autoSpaceDN/>
              <w:bidi w:val="0"/>
              <w:adjustRightInd/>
              <w:snapToGrid/>
              <w:spacing w:before="0" w:after="0" w:line="240" w:lineRule="auto"/>
              <w:ind w:left="1260" w:leftChars="150" w:right="0" w:hanging="900" w:hangingChars="5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通信地址：</w:t>
            </w:r>
            <w:r>
              <w:rPr>
                <w:rFonts w:hint="eastAsia" w:eastAsia="宋体"/>
                <w:sz w:val="18"/>
                <w:szCs w:val="18"/>
                <w:u w:val="single"/>
                <w:vertAlign w:val="baseline"/>
                <w:lang w:val="en-US" w:eastAsia="zh-CN"/>
              </w:rPr>
              <w:t xml:space="preserve"> 浦城县五一三路639号大众大厦二楼 </w:t>
            </w:r>
          </w:p>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color w:val="000000"/>
                <w:spacing w:val="0"/>
                <w:w w:val="100"/>
                <w:position w:val="0"/>
                <w:sz w:val="18"/>
                <w:szCs w:val="18"/>
                <w:u w:val="none"/>
                <w:shd w:val="clear" w:color="auto" w:fill="auto"/>
                <w:lang w:val="en-US" w:eastAsia="zh-CN" w:bidi="zh-TW"/>
              </w:rPr>
              <w:t>其他：</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8.2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可以调解异议争议的行业组织</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或专业咨询机构</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default" w:eastAsia="宋体"/>
                <w:sz w:val="18"/>
                <w:szCs w:val="18"/>
                <w:u w:val="single"/>
                <w:vertAlign w:val="baseline"/>
                <w:lang w:val="en-US" w:eastAsia="zh-CN"/>
              </w:rPr>
            </w:pPr>
            <w:r>
              <w:rPr>
                <w:rFonts w:hint="eastAsia" w:eastAsia="宋体"/>
                <w:sz w:val="18"/>
                <w:szCs w:val="18"/>
                <w:u w:val="none"/>
                <w:vertAlign w:val="baseline"/>
                <w:lang w:val="en-US" w:eastAsia="zh-CN"/>
              </w:rPr>
              <w:t>联 系 人：</w:t>
            </w:r>
            <w:r>
              <w:rPr>
                <w:rFonts w:hint="default" w:eastAsia="宋体"/>
                <w:sz w:val="18"/>
                <w:szCs w:val="18"/>
                <w:u w:val="single"/>
                <w:vertAlign w:val="baseline"/>
                <w:lang w:val="en-US" w:eastAsia="zh-CN"/>
              </w:rPr>
              <w:t>浦城县财政局国有资产管理股</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eastAsia="宋体"/>
                <w:sz w:val="18"/>
                <w:szCs w:val="18"/>
                <w:u w:val="none"/>
                <w:vertAlign w:val="baseline"/>
                <w:lang w:val="en-US" w:eastAsia="zh-CN"/>
              </w:rPr>
              <w:t>地    址：</w:t>
            </w:r>
            <w:r>
              <w:rPr>
                <w:rFonts w:hint="eastAsia" w:eastAsia="宋体"/>
                <w:sz w:val="18"/>
                <w:szCs w:val="18"/>
                <w:u w:val="single"/>
                <w:vertAlign w:val="baseline"/>
                <w:lang w:val="en-US" w:eastAsia="zh-CN"/>
              </w:rPr>
              <w:t>浦城县五一三路179号</w:t>
            </w:r>
          </w:p>
          <w:p>
            <w:pPr>
              <w:pStyle w:val="18"/>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spacing w:val="0"/>
                <w:w w:val="100"/>
                <w:position w:val="0"/>
                <w:sz w:val="18"/>
                <w:szCs w:val="18"/>
                <w:u w:val="single"/>
                <w:shd w:val="clear" w:color="auto" w:fill="auto"/>
                <w:vertAlign w:val="baseline"/>
                <w:lang w:val="en-US" w:eastAsia="zh-CN" w:bidi="en-US"/>
              </w:rPr>
            </w:pPr>
            <w:r>
              <w:rPr>
                <w:rFonts w:hint="eastAsia" w:ascii="Times New Roman" w:hAnsi="Times New Roman" w:eastAsia="宋体" w:cs="Times New Roman"/>
                <w:color w:val="000000"/>
                <w:spacing w:val="0"/>
                <w:w w:val="100"/>
                <w:position w:val="0"/>
                <w:sz w:val="18"/>
                <w:szCs w:val="18"/>
                <w:u w:val="none"/>
                <w:shd w:val="clear" w:color="auto" w:fill="auto"/>
                <w:vertAlign w:val="baseline"/>
                <w:lang w:val="en-US" w:eastAsia="zh-CN" w:bidi="en-US"/>
              </w:rPr>
              <w:t>邮    箱：</w:t>
            </w:r>
            <w:r>
              <w:rPr>
                <w:rFonts w:hint="eastAsia" w:ascii="Times New Roman" w:hAnsi="Times New Roman" w:eastAsia="宋体" w:cs="Times New Roman"/>
                <w:color w:val="000000"/>
                <w:spacing w:val="0"/>
                <w:w w:val="100"/>
                <w:position w:val="0"/>
                <w:sz w:val="18"/>
                <w:szCs w:val="18"/>
                <w:u w:val="single"/>
                <w:shd w:val="clear" w:color="auto" w:fill="auto"/>
                <w:vertAlign w:val="baseline"/>
                <w:lang w:val="en-US" w:eastAsia="zh-CN" w:bidi="en-US"/>
              </w:rPr>
              <w:t>339664793@qq.com</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default"/>
                <w:lang w:val="en-US" w:eastAsia="zh-CN"/>
              </w:rPr>
            </w:pPr>
            <w:r>
              <w:rPr>
                <w:rFonts w:hint="eastAsia" w:eastAsia="宋体"/>
                <w:sz w:val="18"/>
                <w:szCs w:val="18"/>
                <w:u w:val="none"/>
                <w:vertAlign w:val="baseline"/>
                <w:lang w:val="en-US" w:eastAsia="zh-CN"/>
              </w:rPr>
              <w:t>联系电话：</w:t>
            </w:r>
            <w:r>
              <w:rPr>
                <w:rFonts w:hint="eastAsia" w:eastAsia="宋体"/>
                <w:sz w:val="18"/>
                <w:szCs w:val="18"/>
                <w:u w:val="single"/>
                <w:vertAlign w:val="baseline"/>
                <w:lang w:val="en-US" w:eastAsia="zh-CN"/>
              </w:rPr>
              <w:t>0599-2822138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10.1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采购代理服务费</w:t>
            </w:r>
          </w:p>
        </w:tc>
        <w:tc>
          <w:tcPr>
            <w:tcW w:w="414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不要求承担</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要求承担</w:t>
            </w:r>
          </w:p>
          <w:p>
            <w:pPr>
              <w:keepNext w:val="0"/>
              <w:keepLines w:val="0"/>
              <w:widowControl/>
              <w:suppressLineNumbers w:val="0"/>
              <w:spacing w:line="240" w:lineRule="auto"/>
              <w:ind w:firstLine="360" w:firstLineChars="200"/>
              <w:jc w:val="left"/>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费用标准或金额：</w:t>
            </w:r>
            <w:r>
              <w:rPr>
                <w:rFonts w:hint="eastAsia" w:eastAsia="宋体"/>
                <w:sz w:val="18"/>
                <w:szCs w:val="18"/>
                <w:u w:val="single"/>
                <w:vertAlign w:val="baseline"/>
                <w:lang w:val="en-US" w:eastAsia="zh-CN"/>
              </w:rPr>
              <w:t xml:space="preserve"> 本项目采购代理服务费由成交供应商承担。参照闽招协〔2021〕32 号文中服务招标类规定计取，不足3000元以3000元计取</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交费时间：</w:t>
            </w:r>
            <w:r>
              <w:rPr>
                <w:rFonts w:hint="eastAsia" w:eastAsia="宋体"/>
                <w:sz w:val="18"/>
                <w:szCs w:val="18"/>
                <w:u w:val="single"/>
                <w:vertAlign w:val="baseline"/>
                <w:lang w:val="en-US" w:eastAsia="zh-CN"/>
              </w:rPr>
              <w:t xml:space="preserve"> 领取成交通知书时一次性支付 </w:t>
            </w:r>
          </w:p>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color w:val="000000"/>
                <w:spacing w:val="0"/>
                <w:w w:val="100"/>
                <w:position w:val="0"/>
                <w:sz w:val="18"/>
                <w:szCs w:val="18"/>
                <w:u w:val="none"/>
                <w:shd w:val="clear" w:color="auto" w:fill="auto"/>
                <w:lang w:val="en-US" w:eastAsia="zh-CN" w:bidi="zh-TW"/>
              </w:rPr>
              <w:t>交费方式：</w:t>
            </w:r>
            <w:r>
              <w:rPr>
                <w:rFonts w:hint="eastAsia" w:eastAsia="宋体"/>
                <w:sz w:val="18"/>
                <w:szCs w:val="18"/>
                <w:u w:val="single"/>
                <w:vertAlign w:val="baseline"/>
                <w:lang w:val="en-US" w:eastAsia="zh-CN"/>
              </w:rPr>
              <w:t xml:space="preserve"> 银行转账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10.2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需要补充的其他内容</w:t>
            </w:r>
          </w:p>
        </w:tc>
        <w:tc>
          <w:tcPr>
            <w:tcW w:w="414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default" w:ascii="宋体" w:hAnsi="宋体" w:eastAsia="宋体" w:cs="宋体"/>
                <w:color w:val="000000"/>
                <w:spacing w:val="0"/>
                <w:w w:val="100"/>
                <w:position w:val="0"/>
                <w:sz w:val="18"/>
                <w:szCs w:val="18"/>
                <w:u w:val="single"/>
                <w:shd w:val="clear" w:color="auto" w:fill="auto"/>
                <w:vertAlign w:val="baseline"/>
                <w:lang w:val="en-US" w:eastAsia="zh-CN" w:bidi="en-US"/>
              </w:rPr>
            </w:pPr>
            <w:r>
              <w:rPr>
                <w:rFonts w:hint="eastAsia" w:ascii="宋体" w:hAnsi="宋体" w:eastAsia="宋体" w:cs="宋体"/>
                <w:b w:val="0"/>
                <w:bCs w:val="0"/>
                <w:color w:val="000000"/>
                <w:spacing w:val="0"/>
                <w:w w:val="100"/>
                <w:position w:val="0"/>
                <w:sz w:val="18"/>
                <w:szCs w:val="18"/>
                <w:u w:val="none"/>
                <w:shd w:val="clear" w:color="auto" w:fill="auto"/>
                <w:vertAlign w:val="baseline"/>
                <w:lang w:val="en-US" w:eastAsia="zh-CN" w:bidi="en-US"/>
              </w:rPr>
              <w:t>评审小组的组建：评审小组成员人数为3人，其中采购人代表0人，技术、经济等方面专家3人。</w:t>
            </w:r>
          </w:p>
        </w:tc>
      </w:tr>
    </w:tbl>
    <w:p>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54" w:name="_Toc16141"/>
      <w:bookmarkStart w:id="55" w:name="_Toc25079"/>
      <w:bookmarkStart w:id="56" w:name="bookmark262"/>
      <w:bookmarkStart w:id="57" w:name="bookmark261"/>
      <w:bookmarkStart w:id="58" w:name="bookmark260"/>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总则</w:t>
      </w:r>
      <w:bookmarkEnd w:id="54"/>
      <w:bookmarkEnd w:id="55"/>
      <w:bookmarkEnd w:id="56"/>
      <w:bookmarkEnd w:id="57"/>
      <w:bookmarkEnd w:id="58"/>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59" w:name="bookmark265"/>
      <w:bookmarkStart w:id="60" w:name="bookmark263"/>
      <w:bookmarkStart w:id="61" w:name="_Toc6006"/>
      <w:bookmarkStart w:id="62" w:name="_Toc5281"/>
      <w:bookmarkStart w:id="63" w:name="_Toc23031"/>
      <w:bookmarkStart w:id="64" w:name="_Toc3192"/>
      <w:bookmarkStart w:id="65" w:name="bookmark264"/>
      <w:bookmarkStart w:id="66" w:name="_Toc4986"/>
      <w:bookmarkStart w:id="67" w:name="_Toc15735"/>
      <w:r>
        <w:rPr>
          <w:rFonts w:hint="eastAsia" w:ascii="宋体" w:hAnsi="宋体" w:eastAsia="宋体" w:cs="宋体"/>
          <w:sz w:val="24"/>
          <w:szCs w:val="24"/>
          <w:lang w:val="en-US" w:eastAsia="en-US"/>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采购方式</w:t>
      </w:r>
      <w:bookmarkEnd w:id="59"/>
      <w:bookmarkEnd w:id="60"/>
      <w:bookmarkEnd w:id="61"/>
      <w:bookmarkEnd w:id="62"/>
      <w:bookmarkEnd w:id="63"/>
      <w:bookmarkEnd w:id="64"/>
      <w:bookmarkEnd w:id="65"/>
      <w:bookmarkEnd w:id="66"/>
      <w:bookmarkEnd w:id="67"/>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本项目采用中国招标投标协会发布的《非招标方式采购代理服务规范》</w:t>
      </w:r>
      <w:r>
        <w:rPr>
          <w:rFonts w:hint="eastAsia" w:ascii="宋体" w:hAnsi="宋体" w:eastAsia="宋体" w:cs="宋体"/>
          <w:color w:val="000000"/>
          <w:spacing w:val="0"/>
          <w:w w:val="100"/>
          <w:position w:val="0"/>
          <w:sz w:val="24"/>
          <w:szCs w:val="24"/>
          <w:lang w:val="en-US" w:eastAsia="en-US" w:bidi="en-US"/>
        </w:rPr>
        <w:t>(T/CTBA001—2019)</w:t>
      </w:r>
      <w:r>
        <w:rPr>
          <w:rFonts w:hint="eastAsia" w:ascii="宋体" w:hAnsi="宋体" w:eastAsia="宋体" w:cs="宋体"/>
          <w:color w:val="000000"/>
          <w:spacing w:val="0"/>
          <w:w w:val="100"/>
          <w:position w:val="0"/>
          <w:sz w:val="24"/>
          <w:szCs w:val="24"/>
        </w:rPr>
        <w:t>规定的</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釆购方式。</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采购是指采购人组建</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小组与响应采购的供应商</w:t>
      </w:r>
      <w:r>
        <w:rPr>
          <w:rFonts w:hint="eastAsia" w:cs="宋体"/>
          <w:color w:val="000000"/>
          <w:spacing w:val="0"/>
          <w:w w:val="100"/>
          <w:position w:val="0"/>
          <w:sz w:val="24"/>
          <w:szCs w:val="24"/>
          <w:lang w:eastAsia="zh-CN"/>
        </w:rPr>
        <w:t>按照采购文件规定的规则和时间一次递交的</w:t>
      </w:r>
      <w:r>
        <w:rPr>
          <w:rFonts w:hint="eastAsia" w:ascii="宋体" w:hAnsi="宋体" w:eastAsia="宋体" w:cs="宋体"/>
          <w:color w:val="000000"/>
          <w:spacing w:val="0"/>
          <w:w w:val="100"/>
          <w:position w:val="0"/>
          <w:sz w:val="24"/>
          <w:szCs w:val="24"/>
        </w:rPr>
        <w:t>响应文件进行评审，采购人根据</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w:t>
      </w:r>
      <w:r>
        <w:rPr>
          <w:rFonts w:hint="eastAsia" w:cs="宋体"/>
          <w:color w:val="000000"/>
          <w:spacing w:val="0"/>
          <w:w w:val="100"/>
          <w:position w:val="0"/>
          <w:sz w:val="24"/>
          <w:szCs w:val="24"/>
          <w:lang w:eastAsia="zh-CN"/>
        </w:rPr>
        <w:t>的评审结果，</w:t>
      </w:r>
      <w:r>
        <w:rPr>
          <w:rFonts w:hint="eastAsia" w:ascii="宋体" w:hAnsi="宋体" w:eastAsia="宋体" w:cs="宋体"/>
          <w:color w:val="000000"/>
          <w:spacing w:val="0"/>
          <w:w w:val="100"/>
          <w:position w:val="0"/>
          <w:sz w:val="24"/>
          <w:szCs w:val="24"/>
        </w:rPr>
        <w:t>选择确定成交供应商的釆购方式。</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68" w:name="bookmark268"/>
      <w:bookmarkStart w:id="69" w:name="_Toc9397"/>
      <w:bookmarkStart w:id="70" w:name="_Toc14942"/>
      <w:bookmarkStart w:id="71" w:name="_Toc31"/>
      <w:bookmarkStart w:id="72" w:name="bookmark267"/>
      <w:bookmarkStart w:id="73" w:name="_Toc12205"/>
      <w:bookmarkStart w:id="74" w:name="bookmark266"/>
      <w:bookmarkStart w:id="75" w:name="_Toc20262"/>
      <w:bookmarkStart w:id="76" w:name="_Toc25580"/>
      <w:r>
        <w:rPr>
          <w:rFonts w:hint="eastAsia" w:ascii="宋体" w:hAnsi="宋体" w:eastAsia="宋体" w:cs="宋体"/>
          <w:sz w:val="24"/>
          <w:szCs w:val="24"/>
          <w:lang w:val="en-US" w:eastAsia="en-US"/>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采购项目概况和供应商资格要求</w:t>
      </w:r>
      <w:bookmarkEnd w:id="68"/>
      <w:bookmarkEnd w:id="69"/>
      <w:bookmarkEnd w:id="70"/>
      <w:bookmarkEnd w:id="71"/>
      <w:bookmarkEnd w:id="72"/>
      <w:bookmarkEnd w:id="73"/>
      <w:bookmarkEnd w:id="74"/>
      <w:bookmarkEnd w:id="75"/>
      <w:bookmarkEnd w:id="76"/>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釆购项目概况和供应商资格要求见第一章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77" w:name="_Toc13994"/>
      <w:bookmarkStart w:id="78" w:name="_Toc16679"/>
      <w:bookmarkStart w:id="79" w:name="_Toc8996"/>
      <w:bookmarkStart w:id="80" w:name="_Toc21263"/>
      <w:bookmarkStart w:id="81" w:name="bookmark270"/>
      <w:bookmarkStart w:id="82" w:name="bookmark269"/>
      <w:bookmarkStart w:id="83" w:name="bookmark271"/>
      <w:bookmarkStart w:id="84" w:name="_Toc24335"/>
      <w:bookmarkStart w:id="85" w:name="_Toc11599"/>
      <w:r>
        <w:rPr>
          <w:rFonts w:hint="eastAsia" w:ascii="宋体" w:hAnsi="宋体" w:eastAsia="宋体" w:cs="宋体"/>
          <w:sz w:val="24"/>
          <w:szCs w:val="24"/>
          <w:lang w:val="en-US" w:eastAsia="en-US"/>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费用承担</w:t>
      </w:r>
      <w:bookmarkEnd w:id="77"/>
      <w:bookmarkEnd w:id="78"/>
      <w:bookmarkEnd w:id="79"/>
      <w:bookmarkEnd w:id="80"/>
      <w:bookmarkEnd w:id="81"/>
      <w:bookmarkEnd w:id="82"/>
      <w:bookmarkEnd w:id="83"/>
      <w:bookmarkEnd w:id="84"/>
      <w:bookmarkEnd w:id="85"/>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供应商准备和参加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釆购活动所发生的各种费用由供应商自行承担。</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86" w:name="bookmark272"/>
      <w:bookmarkStart w:id="87" w:name="bookmark273"/>
      <w:bookmarkStart w:id="88" w:name="bookmark274"/>
      <w:bookmarkStart w:id="89" w:name="_Toc31178"/>
      <w:bookmarkStart w:id="90" w:name="_Toc13806"/>
      <w:bookmarkStart w:id="91" w:name="_Toc17546"/>
      <w:bookmarkStart w:id="92" w:name="_Toc30346"/>
      <w:bookmarkStart w:id="93" w:name="_Toc25897"/>
      <w:bookmarkStart w:id="94" w:name="_Toc22163"/>
      <w:r>
        <w:rPr>
          <w:rFonts w:hint="eastAsia" w:ascii="宋体" w:hAnsi="宋体" w:eastAsia="宋体" w:cs="宋体"/>
          <w:sz w:val="24"/>
          <w:szCs w:val="24"/>
          <w:lang w:val="en-US" w:eastAsia="en-US"/>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w:t>
      </w:r>
      <w:bookmarkEnd w:id="86"/>
      <w:bookmarkEnd w:id="87"/>
      <w:bookmarkEnd w:id="88"/>
      <w:bookmarkEnd w:id="89"/>
      <w:bookmarkEnd w:id="90"/>
      <w:bookmarkEnd w:id="91"/>
      <w:bookmarkEnd w:id="92"/>
      <w:bookmarkEnd w:id="93"/>
      <w:bookmarkEnd w:id="94"/>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采购活动的各方应对采购文件和响应文件中的商业和技术等秘密保密,否则应承担相应的法律责任。</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textAlignment w:val="auto"/>
        <w:rPr>
          <w:rFonts w:hint="eastAsia" w:ascii="宋体" w:hAnsi="宋体" w:eastAsia="宋体" w:cs="宋体"/>
          <w:b/>
          <w:bCs/>
          <w:sz w:val="24"/>
          <w:szCs w:val="24"/>
        </w:rPr>
      </w:pPr>
      <w:bookmarkStart w:id="95" w:name="bookmark277"/>
      <w:bookmarkStart w:id="96" w:name="_Toc12710"/>
      <w:bookmarkStart w:id="97" w:name="_Toc14413"/>
      <w:bookmarkStart w:id="98" w:name="bookmark276"/>
      <w:bookmarkStart w:id="99" w:name="_Toc29219"/>
      <w:bookmarkStart w:id="100" w:name="_Toc23162"/>
      <w:bookmarkStart w:id="101" w:name="_Toc20880"/>
      <w:bookmarkStart w:id="102" w:name="_Toc9767"/>
      <w:bookmarkStart w:id="103" w:name="bookmark275"/>
      <w:r>
        <w:rPr>
          <w:rFonts w:hint="eastAsia" w:ascii="宋体" w:hAnsi="宋体" w:eastAsia="宋体" w:cs="宋体"/>
          <w:b/>
          <w:bCs/>
          <w:color w:val="000000"/>
          <w:spacing w:val="0"/>
          <w:w w:val="100"/>
          <w:position w:val="0"/>
          <w:sz w:val="24"/>
          <w:szCs w:val="24"/>
          <w:lang w:val="en-US" w:eastAsia="en-US" w:bidi="en-US"/>
        </w:rPr>
        <w:t>1.5</w:t>
      </w:r>
      <w:r>
        <w:rPr>
          <w:rFonts w:hint="eastAsia" w:ascii="宋体" w:hAnsi="宋体" w:eastAsia="宋体"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语言文字</w:t>
      </w:r>
      <w:bookmarkEnd w:id="95"/>
      <w:bookmarkEnd w:id="96"/>
      <w:bookmarkEnd w:id="97"/>
      <w:bookmarkEnd w:id="98"/>
      <w:bookmarkEnd w:id="99"/>
      <w:bookmarkEnd w:id="100"/>
      <w:bookmarkEnd w:id="101"/>
      <w:bookmarkEnd w:id="102"/>
      <w:bookmarkEnd w:id="103"/>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采购文件和响应文件使用的语言文字为中文。专用术语使用外文的，应附有中文注释。</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textAlignment w:val="auto"/>
        <w:rPr>
          <w:rFonts w:hint="eastAsia" w:ascii="宋体" w:hAnsi="宋体" w:eastAsia="宋体" w:cs="宋体"/>
          <w:sz w:val="24"/>
          <w:szCs w:val="24"/>
        </w:rPr>
      </w:pPr>
      <w:bookmarkStart w:id="104" w:name="_Toc143"/>
      <w:bookmarkStart w:id="105" w:name="bookmark278"/>
      <w:bookmarkStart w:id="106" w:name="_Toc463"/>
      <w:bookmarkStart w:id="107" w:name="_Toc8811"/>
      <w:bookmarkStart w:id="108" w:name="_Toc25691"/>
      <w:bookmarkStart w:id="109" w:name="_Toc14782"/>
      <w:bookmarkStart w:id="110" w:name="bookmark280"/>
      <w:bookmarkStart w:id="111" w:name="_Toc2490"/>
      <w:bookmarkStart w:id="112" w:name="bookmark279"/>
      <w:r>
        <w:rPr>
          <w:rFonts w:hint="eastAsia" w:ascii="宋体" w:hAnsi="宋体" w:eastAsia="宋体" w:cs="宋体"/>
          <w:sz w:val="24"/>
          <w:szCs w:val="24"/>
          <w:lang w:val="en-US" w:eastAsia="en-US"/>
        </w:rPr>
        <w:t>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计量单位</w:t>
      </w:r>
      <w:bookmarkEnd w:id="104"/>
      <w:bookmarkEnd w:id="105"/>
      <w:bookmarkEnd w:id="106"/>
      <w:bookmarkEnd w:id="107"/>
      <w:bookmarkEnd w:id="108"/>
      <w:bookmarkEnd w:id="109"/>
      <w:bookmarkEnd w:id="110"/>
      <w:bookmarkEnd w:id="111"/>
      <w:bookmarkEnd w:id="112"/>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所有计量均采用中华人民共和国法定计量单位。</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textAlignment w:val="auto"/>
        <w:rPr>
          <w:rFonts w:hint="eastAsia" w:ascii="宋体" w:hAnsi="宋体" w:eastAsia="宋体" w:cs="宋体"/>
          <w:sz w:val="24"/>
          <w:szCs w:val="24"/>
        </w:rPr>
      </w:pPr>
      <w:bookmarkStart w:id="113" w:name="_Toc25108"/>
      <w:bookmarkStart w:id="114" w:name="_Toc836"/>
      <w:bookmarkStart w:id="115" w:name="bookmark283"/>
      <w:bookmarkStart w:id="116" w:name="bookmark281"/>
      <w:bookmarkStart w:id="117" w:name="_Toc9807"/>
      <w:bookmarkStart w:id="118" w:name="_Toc1371"/>
      <w:bookmarkStart w:id="119" w:name="_Toc31226"/>
      <w:bookmarkStart w:id="120" w:name="_Toc14222"/>
      <w:bookmarkStart w:id="121" w:name="bookmark282"/>
      <w:r>
        <w:rPr>
          <w:rFonts w:hint="eastAsia" w:ascii="宋体" w:hAnsi="宋体" w:eastAsia="宋体" w:cs="宋体"/>
          <w:sz w:val="24"/>
          <w:szCs w:val="24"/>
          <w:lang w:val="en-US" w:eastAsia="en-US"/>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w:t>
      </w:r>
      <w:bookmarkEnd w:id="113"/>
      <w:bookmarkEnd w:id="114"/>
      <w:bookmarkEnd w:id="115"/>
      <w:bookmarkEnd w:id="116"/>
      <w:bookmarkEnd w:id="117"/>
      <w:bookmarkEnd w:id="118"/>
      <w:bookmarkEnd w:id="119"/>
      <w:bookmarkEnd w:id="120"/>
      <w:bookmarkEnd w:id="121"/>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供应商须知前附表规定组织踏勘现场的，采购人按供应商须知前附表规定的时间、地点组织供应商踏勘项目现场。部分供应商未按时参加踏勘现场的，不影响踏勘现场的正常进行。</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供应商可自愿参加踏勘现场活动。除采购人的原因外，采购人对供应商参加踏勘现场中所发生的人员伤亡和财产损失不承担责任。</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釆购人在踏勘现场中介绍的工程场地和相关的周边环境情况，仅作为供应商编制响应文件的参考，采购人不对供应商据此作出的判断和决策负责。</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b/>
          <w:bCs/>
          <w:sz w:val="24"/>
          <w:szCs w:val="24"/>
        </w:rPr>
      </w:pPr>
      <w:bookmarkStart w:id="122" w:name="bookmark284"/>
      <w:bookmarkStart w:id="123" w:name="_Toc16852"/>
      <w:bookmarkStart w:id="124" w:name="_Toc15199"/>
      <w:bookmarkStart w:id="125" w:name="_Toc13186"/>
      <w:bookmarkStart w:id="126" w:name="_Toc31660"/>
      <w:bookmarkStart w:id="127" w:name="bookmark285"/>
      <w:bookmarkStart w:id="128" w:name="_Toc19230"/>
      <w:bookmarkStart w:id="129" w:name="_Toc8590"/>
      <w:bookmarkStart w:id="130" w:name="bookmark286"/>
      <w:r>
        <w:rPr>
          <w:rFonts w:hint="eastAsia" w:ascii="宋体" w:hAnsi="宋体" w:eastAsia="宋体" w:cs="宋体"/>
          <w:sz w:val="24"/>
          <w:szCs w:val="24"/>
          <w:lang w:val="en-US" w:eastAsia="en-US"/>
        </w:rPr>
        <w:t>1.8</w:t>
      </w:r>
      <w:r>
        <w:rPr>
          <w:rFonts w:hint="eastAsia" w:ascii="宋体" w:hAnsi="宋体" w:eastAsia="宋体" w:cs="宋体"/>
          <w:sz w:val="24"/>
          <w:szCs w:val="24"/>
          <w:lang w:val="en-US" w:eastAsia="zh-CN"/>
        </w:rPr>
        <w:t xml:space="preserve"> 询比采购</w:t>
      </w:r>
      <w:r>
        <w:rPr>
          <w:rFonts w:hint="eastAsia" w:ascii="宋体" w:hAnsi="宋体" w:eastAsia="宋体" w:cs="宋体"/>
          <w:sz w:val="24"/>
          <w:szCs w:val="24"/>
        </w:rPr>
        <w:t>预备会</w:t>
      </w:r>
      <w:bookmarkEnd w:id="122"/>
      <w:bookmarkEnd w:id="123"/>
      <w:bookmarkEnd w:id="124"/>
      <w:bookmarkEnd w:id="125"/>
      <w:bookmarkEnd w:id="126"/>
      <w:bookmarkEnd w:id="127"/>
      <w:bookmarkEnd w:id="128"/>
      <w:bookmarkEnd w:id="129"/>
      <w:bookmarkEnd w:id="130"/>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釆购预备会的，釆购人按供应商须知前附表规定的时间和地点召开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采购预备会。</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131" w:name="_Toc2720"/>
      <w:bookmarkStart w:id="132" w:name="_Toc817"/>
      <w:bookmarkStart w:id="133" w:name="_Toc4174"/>
      <w:bookmarkStart w:id="134" w:name="_Toc26930"/>
      <w:bookmarkStart w:id="135" w:name="_Toc26281"/>
      <w:bookmarkStart w:id="136" w:name="_Toc32064"/>
      <w:r>
        <w:rPr>
          <w:rFonts w:hint="eastAsia" w:ascii="宋体" w:hAnsi="宋体" w:eastAsia="宋体" w:cs="宋体"/>
          <w:sz w:val="24"/>
          <w:szCs w:val="24"/>
          <w:lang w:val="en-US" w:eastAsia="en-US"/>
        </w:rPr>
        <w:t xml:space="preserve">1.9 </w:t>
      </w:r>
      <w:r>
        <w:rPr>
          <w:rFonts w:hint="eastAsia" w:ascii="宋体" w:hAnsi="宋体" w:eastAsia="宋体" w:cs="宋体"/>
          <w:sz w:val="24"/>
          <w:szCs w:val="24"/>
          <w:lang w:val="zh-TW" w:eastAsia="zh-TW"/>
        </w:rPr>
        <w:t>分包</w:t>
      </w:r>
      <w:bookmarkEnd w:id="131"/>
      <w:bookmarkEnd w:id="132"/>
      <w:bookmarkEnd w:id="133"/>
      <w:bookmarkEnd w:id="134"/>
      <w:bookmarkEnd w:id="135"/>
      <w:bookmarkEnd w:id="136"/>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供应商拟在成交后将成交项目的部分工作进行分包的，应符合供应商须知前附表的规定，并在响应文件中作出说明。</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分包供应商不得将分包项目再次分包。成交供应商应当就分包项目向采购人负责,分包供应商就分包项目承担连带责任。</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137" w:name="_Toc19199"/>
      <w:bookmarkStart w:id="138" w:name="_Toc9372"/>
      <w:bookmarkStart w:id="139" w:name="bookmark292"/>
      <w:bookmarkStart w:id="140" w:name="_Toc10903"/>
      <w:bookmarkStart w:id="141" w:name="_Toc17908"/>
      <w:bookmarkStart w:id="142" w:name="_Toc203"/>
      <w:bookmarkStart w:id="143" w:name="bookmark291"/>
      <w:bookmarkStart w:id="144" w:name="bookmark290"/>
      <w:bookmarkStart w:id="145" w:name="_Toc29934"/>
      <w:r>
        <w:rPr>
          <w:rFonts w:hint="eastAsia" w:ascii="宋体" w:hAnsi="宋体" w:eastAsia="宋体" w:cs="宋体"/>
          <w:sz w:val="24"/>
          <w:szCs w:val="24"/>
          <w:lang w:val="en-US" w:eastAsia="en-US"/>
        </w:rPr>
        <w:t>1.10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响应和偏差</w:t>
      </w:r>
      <w:bookmarkEnd w:id="137"/>
      <w:bookmarkEnd w:id="138"/>
      <w:bookmarkEnd w:id="139"/>
      <w:bookmarkEnd w:id="140"/>
      <w:bookmarkEnd w:id="141"/>
      <w:bookmarkEnd w:id="142"/>
      <w:bookmarkEnd w:id="143"/>
      <w:bookmarkEnd w:id="144"/>
      <w:bookmarkEnd w:id="145"/>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1.10.</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响应文件应当对采购需求和合同条款及格式中的条款作岀响应，否则，供应商的响应文件将被视为无效。</w:t>
      </w:r>
    </w:p>
    <w:p>
      <w:pPr>
        <w:pStyle w:val="27"/>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bookmarkStart w:id="146" w:name="bookmark293"/>
      <w:bookmarkEnd w:id="146"/>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10.2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供应商须知前附表规定了对非关键条款允许偏差的范围和可以偏差的项数的,如响应文件存在的偏差超出上述范围或项数，将被视为无效。</w:t>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147" w:name="_Toc27309"/>
      <w:bookmarkStart w:id="148" w:name="_Toc3519"/>
      <w:bookmarkStart w:id="149" w:name="bookmark295"/>
      <w:bookmarkStart w:id="150" w:name="bookmark294"/>
      <w:bookmarkStart w:id="151" w:name="bookmark296"/>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采购文件</w:t>
      </w:r>
      <w:bookmarkEnd w:id="147"/>
      <w:bookmarkEnd w:id="148"/>
      <w:bookmarkEnd w:id="149"/>
      <w:bookmarkEnd w:id="150"/>
      <w:bookmarkEnd w:id="151"/>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152" w:name="_Toc27144"/>
      <w:bookmarkStart w:id="153" w:name="_Toc1506"/>
      <w:bookmarkStart w:id="154" w:name="_Toc5878"/>
      <w:bookmarkStart w:id="155" w:name="_Toc25003"/>
      <w:bookmarkStart w:id="156" w:name="_Toc5739"/>
      <w:bookmarkStart w:id="157" w:name="bookmark299"/>
      <w:bookmarkStart w:id="158" w:name="bookmark298"/>
      <w:bookmarkStart w:id="159" w:name="bookmark297"/>
      <w:bookmarkStart w:id="160" w:name="_Toc21393"/>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w:t>
      </w:r>
      <w:r>
        <w:rPr>
          <w:rFonts w:hint="eastAsia" w:ascii="宋体" w:hAnsi="宋体" w:eastAsia="宋体" w:cs="宋体"/>
          <w:sz w:val="24"/>
          <w:szCs w:val="24"/>
          <w:lang w:eastAsia="zh-CN"/>
        </w:rPr>
        <w:t>组</w:t>
      </w:r>
      <w:r>
        <w:rPr>
          <w:rFonts w:hint="eastAsia" w:ascii="宋体" w:hAnsi="宋体" w:eastAsia="宋体" w:cs="宋体"/>
          <w:sz w:val="24"/>
          <w:szCs w:val="24"/>
        </w:rPr>
        <w:t>成</w:t>
      </w:r>
      <w:bookmarkEnd w:id="152"/>
      <w:bookmarkEnd w:id="153"/>
      <w:bookmarkEnd w:id="154"/>
      <w:bookmarkEnd w:id="155"/>
      <w:bookmarkEnd w:id="156"/>
      <w:bookmarkEnd w:id="157"/>
      <w:bookmarkEnd w:id="158"/>
      <w:bookmarkEnd w:id="159"/>
      <w:bookmarkEnd w:id="160"/>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本采购文件包括：</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61" w:name="bookmark300"/>
      <w:bookmarkEnd w:id="16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釆购公告(或</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62" w:name="bookmark301"/>
      <w:bookmarkEnd w:id="16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63" w:name="bookmark302"/>
      <w:bookmarkEnd w:id="16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评审办法；</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64" w:name="bookmark303"/>
      <w:bookmarkEnd w:id="16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65" w:name="bookmark304"/>
      <w:bookmarkEnd w:id="16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采购需求；</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66" w:name="bookmark305"/>
      <w:bookmarkEnd w:id="16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响应文件格式；</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67" w:name="bookmark306"/>
      <w:bookmarkEnd w:id="16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供应商须知前附表规定的其他资料。</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采购人依照本章规定，对釆购文件所作的澄清、修改，构成采购文件的组成部分。</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168" w:name="_Toc32534"/>
      <w:bookmarkStart w:id="169" w:name="_Toc27503"/>
      <w:bookmarkStart w:id="170" w:name="_Toc22175"/>
      <w:bookmarkStart w:id="171" w:name="bookmark309"/>
      <w:bookmarkStart w:id="172" w:name="bookmark307"/>
      <w:bookmarkStart w:id="173" w:name="_Toc27321"/>
      <w:bookmarkStart w:id="174" w:name="_Toc9331"/>
      <w:bookmarkStart w:id="175" w:name="bookmark308"/>
      <w:bookmarkStart w:id="176" w:name="_Toc3132"/>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采购文件的澄清和修改</w:t>
      </w:r>
      <w:bookmarkEnd w:id="168"/>
      <w:bookmarkEnd w:id="169"/>
      <w:bookmarkEnd w:id="170"/>
      <w:bookmarkEnd w:id="171"/>
      <w:bookmarkEnd w:id="172"/>
      <w:bookmarkEnd w:id="173"/>
      <w:bookmarkEnd w:id="174"/>
      <w:bookmarkEnd w:id="175"/>
      <w:bookmarkEnd w:id="176"/>
    </w:p>
    <w:p>
      <w:pPr>
        <w:pStyle w:val="27"/>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bookmarkStart w:id="177" w:name="bookmark310"/>
      <w:bookmarkEnd w:id="177"/>
      <w:r>
        <w:rPr>
          <w:rFonts w:hint="eastAsia" w:ascii="宋体" w:hAnsi="宋体" w:eastAsia="宋体" w:cs="宋体"/>
          <w:color w:val="000000"/>
          <w:spacing w:val="0"/>
          <w:w w:val="100"/>
          <w:position w:val="0"/>
          <w:sz w:val="24"/>
          <w:szCs w:val="24"/>
          <w:lang w:val="en-US" w:eastAsia="zh-CN"/>
        </w:rPr>
        <w:t>2.2.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供应商应仔细阅读和检查采购文件的全部内容。如发现缺页或内容不全，应及时向釆购人提出，以便补齐。如有疑问，应在供应商须知前附表规定的时间前，以书面形式要求采购人对采购文件予以澄清。</w:t>
      </w:r>
    </w:p>
    <w:p>
      <w:pPr>
        <w:pStyle w:val="27"/>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bookmarkStart w:id="178" w:name="bookmark311"/>
      <w:bookmarkEnd w:id="178"/>
      <w:r>
        <w:rPr>
          <w:rFonts w:hint="eastAsia" w:ascii="宋体" w:hAnsi="宋体" w:eastAsia="宋体"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采购人可根据供应商的要求或主动对采购文件进行澄清或修改。澄清或修改的内容以补充文件的形式发给所有获取采购文件的供应商。釆购人可视具体情况在补充文件中通知供应商推迟递交响应文件的截止时间。</w:t>
      </w:r>
    </w:p>
    <w:p>
      <w:pPr>
        <w:pStyle w:val="27"/>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bookmarkStart w:id="179" w:name="bookmark312"/>
      <w:bookmarkEnd w:id="179"/>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供应商在收到补充文件后，应按供应商须知前附表规定的时间和方式通知釆购人，确认已收到该补充文件。</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除非确有必要，釆购人有权拒绝回复供应商在本章第</w:t>
      </w:r>
      <w:r>
        <w:rPr>
          <w:rFonts w:hint="eastAsia" w:ascii="宋体" w:hAnsi="宋体" w:eastAsia="宋体" w:cs="宋体"/>
          <w:color w:val="000000"/>
          <w:spacing w:val="0"/>
          <w:w w:val="100"/>
          <w:position w:val="0"/>
          <w:sz w:val="24"/>
          <w:szCs w:val="24"/>
          <w:lang w:val="en-US" w:eastAsia="en-US" w:bidi="en-US"/>
        </w:rPr>
        <w:t>2.2.</w:t>
      </w:r>
      <w:r>
        <w:rPr>
          <w:rFonts w:hint="eastAsia" w:ascii="宋体" w:hAnsi="宋体" w:eastAsia="宋体" w:cs="宋体"/>
          <w:color w:val="000000"/>
          <w:spacing w:val="0"/>
          <w:w w:val="100"/>
          <w:position w:val="0"/>
          <w:sz w:val="24"/>
          <w:szCs w:val="24"/>
        </w:rPr>
        <w:t>1项规定的时间后提出的任何澄清要求。</w:t>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180" w:name="_Toc20218"/>
      <w:bookmarkStart w:id="181" w:name="bookmark314"/>
      <w:bookmarkStart w:id="182" w:name="_Toc27542"/>
      <w:bookmarkStart w:id="183" w:name="bookmark313"/>
      <w:bookmarkStart w:id="184" w:name="bookmark315"/>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w:t>
      </w:r>
      <w:bookmarkEnd w:id="180"/>
      <w:bookmarkEnd w:id="181"/>
      <w:bookmarkEnd w:id="182"/>
      <w:bookmarkEnd w:id="183"/>
      <w:bookmarkEnd w:id="184"/>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185" w:name="_Toc6438"/>
      <w:bookmarkStart w:id="186" w:name="_Toc3182"/>
      <w:bookmarkStart w:id="187" w:name="bookmark316"/>
      <w:bookmarkStart w:id="188" w:name="bookmark318"/>
      <w:bookmarkStart w:id="189" w:name="_Toc7878"/>
      <w:bookmarkStart w:id="190" w:name="_Toc11652"/>
      <w:bookmarkStart w:id="191" w:name="_Toc26440"/>
      <w:bookmarkStart w:id="192" w:name="_Toc4914"/>
      <w:bookmarkStart w:id="193" w:name="bookmark317"/>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响应文件的组成</w:t>
      </w:r>
      <w:bookmarkEnd w:id="185"/>
      <w:bookmarkEnd w:id="186"/>
      <w:bookmarkEnd w:id="187"/>
      <w:bookmarkEnd w:id="188"/>
      <w:bookmarkEnd w:id="189"/>
      <w:bookmarkEnd w:id="190"/>
      <w:bookmarkEnd w:id="191"/>
      <w:bookmarkEnd w:id="192"/>
      <w:bookmarkEnd w:id="193"/>
    </w:p>
    <w:p>
      <w:pPr>
        <w:pStyle w:val="27"/>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bookmarkStart w:id="194" w:name="bookmark319"/>
      <w:bookmarkEnd w:id="194"/>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响应文件应包括下列内容：</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95" w:name="bookmark320"/>
      <w:bookmarkEnd w:id="19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响应函；</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96" w:name="bookmark321"/>
      <w:bookmarkEnd w:id="19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授权委托书(如有)；</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97" w:name="bookmark322"/>
      <w:bookmarkEnd w:id="19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联合体协议书(如有)；</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98" w:name="bookmark323"/>
      <w:bookmarkEnd w:id="19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响应保证金(如有)；</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99" w:name="bookmark324"/>
      <w:bookmarkEnd w:id="19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商务和技术偏差表；</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200" w:name="bookmark325"/>
      <w:bookmarkEnd w:id="20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201" w:name="bookmark326"/>
      <w:bookmarkEnd w:id="20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资格审查资料；</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202" w:name="bookmark327"/>
      <w:bookmarkEnd w:id="20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响应方案；</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203" w:name="bookmark328"/>
      <w:bookmarkEnd w:id="20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9</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供应商须知前附表规定的其他资料。</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供应商在评审过程中作出的符合釆购文件要求的澄清、说明和补正，构成响应文件的组成部分。</w:t>
      </w:r>
    </w:p>
    <w:p>
      <w:pPr>
        <w:pStyle w:val="27"/>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bookmarkStart w:id="204" w:name="bookmark329"/>
      <w:bookmarkEnd w:id="204"/>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供应商的法定代表人(单位负责人)亲自签署响应文件、亲自参加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的，响应文件不包括第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ascii="宋体" w:hAnsi="宋体" w:eastAsia="宋体" w:cs="宋体"/>
          <w:color w:val="000000"/>
          <w:spacing w:val="0"/>
          <w:w w:val="100"/>
          <w:position w:val="0"/>
          <w:sz w:val="24"/>
          <w:szCs w:val="24"/>
        </w:rPr>
        <w:t>(2)目所指的授权委托书。第一章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采购邀请书”规定不接受联合体的，或供应商没有组成联合体的，响应文件不包括第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ascii="宋体" w:hAnsi="宋体" w:eastAsia="宋体" w:cs="宋体"/>
          <w:color w:val="000000"/>
          <w:spacing w:val="0"/>
          <w:w w:val="100"/>
          <w:position w:val="0"/>
          <w:sz w:val="24"/>
          <w:szCs w:val="24"/>
        </w:rPr>
        <w:t>(3)目所指的联合体协议书。供应商须知前附表未要求供应商递交响应保证金的，响应文件不包括第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1(4)目所指的响应保证金。</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205" w:name="_Toc924"/>
      <w:bookmarkStart w:id="206" w:name="_Toc28390"/>
      <w:bookmarkStart w:id="207" w:name="_Toc24474"/>
      <w:bookmarkStart w:id="208" w:name="bookmark332"/>
      <w:bookmarkStart w:id="209" w:name="_Toc31451"/>
      <w:bookmarkStart w:id="210" w:name="bookmark330"/>
      <w:bookmarkStart w:id="211" w:name="bookmark331"/>
      <w:bookmarkStart w:id="212" w:name="_Toc9111"/>
      <w:bookmarkStart w:id="213" w:name="_Toc23507"/>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w:t>
      </w:r>
      <w:bookmarkEnd w:id="205"/>
      <w:bookmarkEnd w:id="206"/>
      <w:bookmarkEnd w:id="207"/>
      <w:bookmarkEnd w:id="208"/>
      <w:bookmarkEnd w:id="209"/>
      <w:bookmarkEnd w:id="210"/>
      <w:bookmarkEnd w:id="211"/>
      <w:bookmarkEnd w:id="212"/>
      <w:bookmarkEnd w:id="213"/>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供应商应按釆购文件提供的格式(见第六章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应文件格式”)在响应函和报价表中进行报价。响应函中报价应为包含国家规定的增值税在内的含税价格。</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充分了解釆购项目的总体情况以及影响报价的其他要素。对于货物和服务采购项目，采购人在签署采购合同时及合同履行过程中，有权在供应商须知前附表规定的幅度内对采购标的的数量进行增加或减少。</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釆购人设有最高限价的，供应商的报价不得超过最高限价。最高限价或最高限价计算方法在供应商须知前附表中载明。</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报价的其他要求见供应商须知前附表。</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214" w:name="_Toc17588"/>
      <w:bookmarkStart w:id="215" w:name="bookmark335"/>
      <w:bookmarkStart w:id="216" w:name="_Toc3998"/>
      <w:bookmarkStart w:id="217" w:name="_Toc27502"/>
      <w:bookmarkStart w:id="218" w:name="_Toc11048"/>
      <w:bookmarkStart w:id="219" w:name="bookmark334"/>
      <w:bookmarkStart w:id="220" w:name="_Toc10856"/>
      <w:bookmarkStart w:id="221" w:name="bookmark333"/>
      <w:bookmarkStart w:id="222" w:name="_Toc11302"/>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响应文件有效期</w:t>
      </w:r>
      <w:bookmarkEnd w:id="214"/>
      <w:bookmarkEnd w:id="215"/>
      <w:bookmarkEnd w:id="216"/>
      <w:bookmarkEnd w:id="217"/>
      <w:bookmarkEnd w:id="218"/>
      <w:bookmarkEnd w:id="219"/>
      <w:bookmarkEnd w:id="220"/>
      <w:bookmarkEnd w:id="221"/>
      <w:bookmarkEnd w:id="222"/>
    </w:p>
    <w:p>
      <w:pPr>
        <w:pStyle w:val="27"/>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color w:val="000000"/>
          <w:spacing w:val="0"/>
          <w:w w:val="100"/>
          <w:position w:val="0"/>
          <w:sz w:val="24"/>
          <w:szCs w:val="24"/>
        </w:rPr>
      </w:pPr>
      <w:bookmarkStart w:id="223" w:name="bookmark336"/>
      <w:bookmarkEnd w:id="223"/>
      <w:r>
        <w:rPr>
          <w:rFonts w:hint="eastAsia" w:ascii="宋体" w:hAnsi="宋体" w:eastAsia="宋体"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除供应商须知前附表另有规定外，响应文件有效期应为90日，从采购文件规定的递交响应文件的截止时间开始计算。</w:t>
      </w:r>
    </w:p>
    <w:p>
      <w:pPr>
        <w:pStyle w:val="27"/>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3.3.2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224" w:name="_Toc28173"/>
      <w:bookmarkStart w:id="225" w:name="_Toc27549"/>
      <w:bookmarkStart w:id="226" w:name="_Toc5188"/>
      <w:bookmarkStart w:id="227" w:name="_Toc25244"/>
      <w:bookmarkStart w:id="228" w:name="bookmark339"/>
      <w:bookmarkStart w:id="229" w:name="_Toc18011"/>
      <w:bookmarkStart w:id="230" w:name="_Toc17970"/>
      <w:bookmarkStart w:id="231" w:name="bookmark337"/>
      <w:bookmarkStart w:id="232" w:name="bookmark338"/>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响应保证金</w:t>
      </w:r>
      <w:bookmarkEnd w:id="224"/>
      <w:bookmarkEnd w:id="225"/>
      <w:bookmarkEnd w:id="226"/>
      <w:bookmarkEnd w:id="227"/>
      <w:bookmarkEnd w:id="228"/>
      <w:bookmarkEnd w:id="229"/>
      <w:bookmarkEnd w:id="230"/>
      <w:bookmarkEnd w:id="231"/>
      <w:bookmarkEnd w:id="232"/>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供应商须知前附表规定要求递交响应保证金的，供应商在递交响应文件的同时，应按供应商须知前附表规定的金额、形式和采购文件提供的格式(见第六章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应文件格式”四、响应保证金)递交响应保证金，并作为其响应文件的组成部分。供应商不按要求递交响应保证金的，其响应文件将被视为无效。</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釆用银行保函、担保机构担保函、保险机构保险单形式递交的响应保证金，经供应商同意后采购人可以不再退还。</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3.4.3</w:t>
      </w:r>
      <w:r>
        <w:rPr>
          <w:rFonts w:hint="eastAsia" w:ascii="宋体" w:hAnsi="宋体" w:eastAsia="宋体" w:cs="宋体"/>
          <w:color w:val="000000"/>
          <w:spacing w:val="0"/>
          <w:w w:val="100"/>
          <w:position w:val="0"/>
          <w:sz w:val="24"/>
          <w:szCs w:val="24"/>
        </w:rPr>
        <w:t>有下列情形之一的，响应保证金将不予退还：</w:t>
      </w:r>
    </w:p>
    <w:p>
      <w:pPr>
        <w:pStyle w:val="27"/>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240" w:lineRule="auto"/>
        <w:ind w:leftChars="0" w:right="0" w:rightChars="0"/>
        <w:jc w:val="left"/>
        <w:textAlignment w:val="auto"/>
        <w:rPr>
          <w:rFonts w:hint="eastAsia" w:ascii="宋体" w:hAnsi="宋体" w:eastAsia="宋体" w:cs="宋体"/>
          <w:sz w:val="24"/>
          <w:szCs w:val="24"/>
        </w:rPr>
      </w:pPr>
      <w:bookmarkStart w:id="233" w:name="bookmark340"/>
      <w:bookmarkEnd w:id="233"/>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供应商在响应文件有效期内撤销响应文件；</w:t>
      </w:r>
    </w:p>
    <w:p>
      <w:pPr>
        <w:pStyle w:val="2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240" w:lineRule="auto"/>
        <w:ind w:leftChars="0" w:right="0" w:rightChars="0"/>
        <w:jc w:val="left"/>
        <w:textAlignment w:val="auto"/>
        <w:rPr>
          <w:rFonts w:hint="eastAsia" w:ascii="宋体" w:hAnsi="宋体" w:eastAsia="宋体" w:cs="宋体"/>
          <w:sz w:val="24"/>
          <w:szCs w:val="24"/>
        </w:rPr>
      </w:pPr>
      <w:bookmarkStart w:id="234" w:name="bookmark341"/>
      <w:bookmarkEnd w:id="234"/>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成交供应商在收到成交通知书后，无正当理由不与采购人订立合同，在签订合同时向采购人提出附加条件，或者不按照采购文件要求递交履约保证金；</w:t>
      </w:r>
    </w:p>
    <w:p>
      <w:pPr>
        <w:pStyle w:val="27"/>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240" w:lineRule="auto"/>
        <w:ind w:leftChars="0" w:right="0" w:rightChars="0"/>
        <w:jc w:val="left"/>
        <w:textAlignment w:val="auto"/>
        <w:rPr>
          <w:rFonts w:hint="eastAsia" w:ascii="宋体" w:hAnsi="宋体" w:eastAsia="宋体" w:cs="宋体"/>
          <w:sz w:val="24"/>
          <w:szCs w:val="24"/>
        </w:rPr>
      </w:pPr>
      <w:bookmarkStart w:id="235" w:name="bookmark342"/>
      <w:bookmarkEnd w:id="235"/>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发生供应商须知前附表规定的其他不予退还响应保证金的情形。</w:t>
      </w:r>
    </w:p>
    <w:p>
      <w:pPr>
        <w:pStyle w:val="4"/>
        <w:pageBreakBefore w:val="0"/>
        <w:widowControl w:val="0"/>
        <w:kinsoku/>
        <w:wordWrap/>
        <w:overflowPunct/>
        <w:topLinePunct w:val="0"/>
        <w:autoSpaceDE/>
        <w:autoSpaceDN/>
        <w:bidi w:val="0"/>
        <w:adjustRightInd/>
        <w:snapToGrid/>
        <w:spacing w:before="0" w:beforeLines="0" w:after="0" w:afterLines="0" w:line="240" w:lineRule="auto"/>
        <w:ind w:leftChars="0" w:right="0"/>
        <w:jc w:val="left"/>
        <w:textAlignment w:val="auto"/>
        <w:rPr>
          <w:rFonts w:hint="eastAsia" w:ascii="宋体" w:hAnsi="宋体" w:eastAsia="宋体" w:cs="宋体"/>
          <w:sz w:val="24"/>
          <w:szCs w:val="24"/>
        </w:rPr>
      </w:pPr>
      <w:bookmarkStart w:id="236" w:name="bookmark343"/>
      <w:bookmarkStart w:id="237" w:name="_Toc2716"/>
      <w:bookmarkStart w:id="238" w:name="_Toc21215"/>
      <w:bookmarkStart w:id="239" w:name="bookmark344"/>
      <w:bookmarkStart w:id="240" w:name="_Toc18408"/>
      <w:bookmarkStart w:id="241" w:name="_Toc5219"/>
      <w:bookmarkStart w:id="242" w:name="_Toc2290"/>
      <w:bookmarkStart w:id="243" w:name="_Toc10178"/>
      <w:bookmarkStart w:id="244" w:name="bookmark345"/>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资格审查资料</w:t>
      </w:r>
      <w:bookmarkEnd w:id="236"/>
      <w:bookmarkEnd w:id="237"/>
      <w:bookmarkEnd w:id="238"/>
      <w:bookmarkEnd w:id="239"/>
      <w:bookmarkEnd w:id="240"/>
      <w:bookmarkEnd w:id="241"/>
      <w:bookmarkEnd w:id="242"/>
      <w:bookmarkEnd w:id="243"/>
      <w:bookmarkEnd w:id="244"/>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供应商应提供供应商须知前附表</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5(1)</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3.5</w:t>
      </w:r>
      <w:r>
        <w:rPr>
          <w:rFonts w:hint="eastAsia" w:ascii="宋体" w:hAnsi="宋体" w:eastAsia="宋体" w:cs="宋体"/>
          <w:color w:val="000000"/>
          <w:spacing w:val="0"/>
          <w:w w:val="100"/>
          <w:position w:val="0"/>
          <w:sz w:val="24"/>
          <w:szCs w:val="24"/>
        </w:rPr>
        <w:t>(9)中规定的资格审查资料，以证明其满足第一章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采购邀请书”对供应商的各项资格要求。</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245" w:name="_Toc3582"/>
      <w:bookmarkStart w:id="246" w:name="bookmark346"/>
      <w:bookmarkStart w:id="247" w:name="_Toc12635"/>
      <w:bookmarkStart w:id="248" w:name="_Toc1239"/>
      <w:bookmarkStart w:id="249" w:name="_Toc17580"/>
      <w:bookmarkStart w:id="250" w:name="bookmark348"/>
      <w:bookmarkStart w:id="251" w:name="bookmark347"/>
      <w:bookmarkStart w:id="252" w:name="_Toc5801"/>
      <w:bookmarkStart w:id="253" w:name="_Toc3932"/>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响应方案</w:t>
      </w:r>
      <w:bookmarkEnd w:id="245"/>
      <w:bookmarkEnd w:id="246"/>
      <w:bookmarkEnd w:id="247"/>
      <w:bookmarkEnd w:id="248"/>
      <w:bookmarkEnd w:id="249"/>
      <w:bookmarkEnd w:id="250"/>
      <w:bookmarkEnd w:id="251"/>
      <w:bookmarkEnd w:id="252"/>
      <w:bookmarkEnd w:id="253"/>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响应文件应当对采购文件中的实质性内容作出响应。供应商应按照供应商须知前附表的规定提供有关证据或证明材料。</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3.6.2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供应商只能提出唯一的响应方案</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供应商在响应文件中提出多个相应方案的，其响应文件将被视为无效。</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响应文件对采购文件的全部偏差，均应在响应文件的商务和技术偏差表中列明。响应文件偏差表中未列明的内容，将视为</w:t>
      </w:r>
      <w:r>
        <w:rPr>
          <w:rFonts w:hint="eastAsia" w:cs="宋体"/>
          <w:color w:val="000000"/>
          <w:spacing w:val="0"/>
          <w:w w:val="100"/>
          <w:position w:val="0"/>
          <w:sz w:val="24"/>
          <w:szCs w:val="24"/>
          <w:lang w:eastAsia="zh-CN"/>
        </w:rPr>
        <w:t>供应商</w:t>
      </w:r>
      <w:r>
        <w:rPr>
          <w:rFonts w:hint="eastAsia" w:ascii="宋体" w:hAnsi="宋体" w:eastAsia="宋体" w:cs="宋体"/>
          <w:color w:val="000000"/>
          <w:spacing w:val="0"/>
          <w:w w:val="100"/>
          <w:position w:val="0"/>
          <w:sz w:val="24"/>
          <w:szCs w:val="24"/>
        </w:rPr>
        <w:t>响应釆购文件的要求；但如发现响应文件的其他部分与商务和技术偏差表的描述不一致或供应商的响应缺乏支持性文件，则</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小组有权要求供应商对相关问题进行澄清，并根据澄清结果对供应商的响应文件进行评审。</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254" w:name="_Toc3917"/>
      <w:bookmarkStart w:id="255" w:name="bookmark351"/>
      <w:bookmarkStart w:id="256" w:name="bookmark350"/>
      <w:bookmarkStart w:id="257" w:name="_Toc20282"/>
      <w:bookmarkStart w:id="258" w:name="bookmark349"/>
      <w:bookmarkStart w:id="259" w:name="_Toc7767"/>
      <w:bookmarkStart w:id="260" w:name="_Toc9099"/>
      <w:bookmarkStart w:id="261" w:name="_Toc18937"/>
      <w:bookmarkStart w:id="262" w:name="_Toc2412"/>
      <w:r>
        <w:rPr>
          <w:rFonts w:hint="eastAsia" w:ascii="宋体" w:hAnsi="宋体" w:eastAsia="宋体" w:cs="宋体"/>
          <w:sz w:val="24"/>
          <w:szCs w:val="24"/>
          <w:lang w:val="en-US" w:eastAsia="en-US"/>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bookmarkEnd w:id="254"/>
      <w:bookmarkEnd w:id="255"/>
      <w:bookmarkEnd w:id="256"/>
      <w:bookmarkEnd w:id="257"/>
      <w:bookmarkEnd w:id="258"/>
      <w:bookmarkEnd w:id="259"/>
      <w:bookmarkEnd w:id="260"/>
      <w:bookmarkEnd w:id="261"/>
      <w:bookmarkEnd w:id="262"/>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响应文件应按第六章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应文件格式”进行编写，如有必要，可以增加附页,作为响应文件的组成部分。</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3.7.2</w:t>
      </w:r>
      <w:r>
        <w:rPr>
          <w:rFonts w:hint="eastAsia" w:ascii="宋体" w:hAnsi="宋体" w:eastAsia="宋体" w:cs="宋体"/>
          <w:color w:val="000000"/>
          <w:spacing w:val="0"/>
          <w:w w:val="100"/>
          <w:position w:val="0"/>
          <w:sz w:val="24"/>
          <w:szCs w:val="24"/>
        </w:rPr>
        <w:t>响应文件应用不褪色的材料书写或打印。</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响应函应由供应商的法定代表人（单位负责人）或其授权的代理人签字并加盖单位章。</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联合体协议书（如有）应由联合体各方的法定代表人（单位负责人）或其授权的代理人签字并加盖单位章。</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响应函或联合体协议书（如有）由代理人签字的，应在响应文件中附授权委托书,授权委托书应由供应商或联合体各方的法定代表人（单位负责人）签字并加盖单位章。</w:t>
      </w:r>
      <w:r>
        <w:rPr>
          <w:rFonts w:hint="eastAsia" w:ascii="宋体" w:hAnsi="宋体" w:eastAsia="宋体" w:cs="宋体"/>
          <w:color w:val="000000"/>
          <w:spacing w:val="0"/>
          <w:w w:val="100"/>
          <w:position w:val="0"/>
          <w:sz w:val="24"/>
          <w:szCs w:val="24"/>
          <w:lang w:val="en-US" w:eastAsia="en-US" w:bidi="en-US"/>
        </w:rPr>
        <w:t>3.7.3</w:t>
      </w:r>
      <w:r>
        <w:rPr>
          <w:rFonts w:hint="eastAsia" w:ascii="宋体" w:hAnsi="宋体" w:eastAsia="宋体"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评审过程</w:t>
      </w:r>
      <w:r>
        <w:rPr>
          <w:rFonts w:hint="eastAsia" w:ascii="宋体" w:hAnsi="宋体" w:eastAsia="宋体" w:cs="宋体"/>
          <w:color w:val="000000"/>
          <w:spacing w:val="0"/>
          <w:w w:val="100"/>
          <w:position w:val="0"/>
          <w:sz w:val="24"/>
          <w:szCs w:val="24"/>
        </w:rPr>
        <w:t>中供应商对响应文件的澄清、说明和补正应由供应商</w:t>
      </w:r>
      <w:r>
        <w:rPr>
          <w:rFonts w:hint="eastAsia" w:cs="宋体"/>
          <w:color w:val="000000"/>
          <w:spacing w:val="0"/>
          <w:w w:val="100"/>
          <w:position w:val="0"/>
          <w:sz w:val="24"/>
          <w:szCs w:val="24"/>
          <w:lang w:eastAsia="zh-CN"/>
        </w:rPr>
        <w:t>的法定代表人（单位负责人）</w:t>
      </w:r>
      <w:r>
        <w:rPr>
          <w:rFonts w:hint="eastAsia" w:ascii="宋体" w:hAnsi="宋体" w:eastAsia="宋体" w:cs="宋体"/>
          <w:color w:val="000000"/>
          <w:spacing w:val="0"/>
          <w:w w:val="100"/>
          <w:position w:val="0"/>
          <w:sz w:val="24"/>
          <w:szCs w:val="24"/>
        </w:rPr>
        <w:t>或其授权的代理人签字或加盖单位章。</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3.7.4</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响应文件应尽量避免涂改、行间插字或删除。如果出现上述情况，改动之处应由供应商的法定代表人（单位负责人）或其授权的代理人签字或加盖单位章。</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3.7.5</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响应文件正本一份，副本份数见供应商须知前附表。正本和副本的封面右上角应清楚地标记</w:t>
      </w:r>
      <w:r>
        <w:rPr>
          <w:rFonts w:hint="eastAsia" w:ascii="宋体" w:hAnsi="宋体" w:eastAsia="宋体" w:cs="宋体"/>
          <w:color w:val="000000"/>
          <w:spacing w:val="0"/>
          <w:w w:val="100"/>
          <w:position w:val="0"/>
          <w:sz w:val="24"/>
          <w:szCs w:val="24"/>
          <w:lang w:val="zh-CN" w:eastAsia="zh-CN" w:bidi="zh-CN"/>
        </w:rPr>
        <w:t>“正</w:t>
      </w:r>
      <w:r>
        <w:rPr>
          <w:rFonts w:hint="eastAsia" w:ascii="宋体" w:hAnsi="宋体" w:eastAsia="宋体" w:cs="宋体"/>
          <w:color w:val="000000"/>
          <w:spacing w:val="0"/>
          <w:w w:val="100"/>
          <w:position w:val="0"/>
          <w:sz w:val="24"/>
          <w:szCs w:val="24"/>
        </w:rPr>
        <w:t>本”或</w:t>
      </w:r>
      <w:r>
        <w:rPr>
          <w:rFonts w:hint="eastAsia" w:ascii="宋体" w:hAnsi="宋体" w:eastAsia="宋体" w:cs="宋体"/>
          <w:color w:val="000000"/>
          <w:spacing w:val="0"/>
          <w:w w:val="100"/>
          <w:position w:val="0"/>
          <w:sz w:val="24"/>
          <w:szCs w:val="24"/>
          <w:lang w:val="zh-CN" w:eastAsia="zh-CN" w:bidi="zh-CN"/>
        </w:rPr>
        <w:t>“副</w:t>
      </w:r>
      <w:r>
        <w:rPr>
          <w:rFonts w:hint="eastAsia" w:ascii="宋体" w:hAnsi="宋体" w:eastAsia="宋体" w:cs="宋体"/>
          <w:color w:val="000000"/>
          <w:spacing w:val="0"/>
          <w:w w:val="100"/>
          <w:position w:val="0"/>
          <w:sz w:val="24"/>
          <w:szCs w:val="24"/>
        </w:rPr>
        <w:t>本”的字样。供应商应根据供应商须知前附表要求提供电子版文件。当副本和正本不一致，或电子版文件和纸质正本文件不一致时，以纸质正本文件为准。</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3.7.6</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响应文件的正本与副本应分别装订，并编制目录。响应文件需分册装订的，具体分册装订要求见供应商须知前附表规定。</w:t>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263" w:name="bookmark353"/>
      <w:bookmarkStart w:id="264" w:name="bookmark352"/>
      <w:bookmarkStart w:id="265" w:name="_Toc13426"/>
      <w:bookmarkStart w:id="266" w:name="bookmark354"/>
      <w:bookmarkStart w:id="267" w:name="_Toc8022"/>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响应文件的递交</w:t>
      </w:r>
      <w:bookmarkEnd w:id="263"/>
      <w:bookmarkEnd w:id="264"/>
      <w:bookmarkEnd w:id="265"/>
      <w:bookmarkEnd w:id="266"/>
      <w:bookmarkEnd w:id="267"/>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268" w:name="_Toc15211"/>
      <w:bookmarkStart w:id="269" w:name="_Toc25690"/>
      <w:bookmarkStart w:id="270" w:name="_Toc32341"/>
      <w:bookmarkStart w:id="271" w:name="bookmark356"/>
      <w:bookmarkStart w:id="272" w:name="bookmark357"/>
      <w:bookmarkStart w:id="273" w:name="_Toc22835"/>
      <w:bookmarkStart w:id="274" w:name="_Toc21586"/>
      <w:bookmarkStart w:id="275" w:name="_Toc4804"/>
      <w:bookmarkStart w:id="276" w:name="bookmark355"/>
      <w:r>
        <w:rPr>
          <w:rFonts w:hint="eastAsia" w:ascii="宋体" w:hAnsi="宋体" w:eastAsia="宋体" w:cs="宋体"/>
          <w:sz w:val="24"/>
          <w:szCs w:val="24"/>
          <w:lang w:val="en-US" w:eastAsia="en-US"/>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响应文件的包装与标记</w:t>
      </w:r>
      <w:bookmarkEnd w:id="268"/>
      <w:bookmarkEnd w:id="269"/>
      <w:bookmarkEnd w:id="270"/>
      <w:bookmarkEnd w:id="271"/>
      <w:bookmarkEnd w:id="272"/>
      <w:bookmarkEnd w:id="273"/>
      <w:bookmarkEnd w:id="274"/>
      <w:bookmarkEnd w:id="275"/>
      <w:bookmarkEnd w:id="276"/>
    </w:p>
    <w:p>
      <w:pPr>
        <w:pStyle w:val="27"/>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240" w:lineRule="auto"/>
        <w:ind w:right="0" w:rightChars="0"/>
        <w:jc w:val="left"/>
        <w:textAlignment w:val="auto"/>
        <w:rPr>
          <w:rFonts w:hint="eastAsia" w:cs="宋体"/>
          <w:color w:val="000000"/>
          <w:spacing w:val="0"/>
          <w:w w:val="100"/>
          <w:position w:val="0"/>
          <w:sz w:val="24"/>
          <w:szCs w:val="24"/>
          <w:lang w:eastAsia="zh-CN"/>
        </w:rPr>
      </w:pPr>
      <w:bookmarkStart w:id="277" w:name="bookmark358"/>
      <w:bookmarkEnd w:id="277"/>
      <w:r>
        <w:rPr>
          <w:rFonts w:hint="eastAsia" w:ascii="宋体" w:hAnsi="宋体" w:eastAsia="宋体" w:cs="宋体"/>
          <w:color w:val="000000"/>
          <w:spacing w:val="0"/>
          <w:w w:val="100"/>
          <w:position w:val="0"/>
          <w:sz w:val="24"/>
          <w:szCs w:val="24"/>
          <w:lang w:val="en-US" w:eastAsia="zh-CN" w:bidi="en-US"/>
        </w:rPr>
        <w:t xml:space="preserve">4.1.1 </w:t>
      </w:r>
      <w:r>
        <w:rPr>
          <w:rFonts w:hint="eastAsia" w:ascii="宋体" w:hAnsi="宋体" w:eastAsia="宋体" w:cs="宋体"/>
          <w:color w:val="000000"/>
          <w:spacing w:val="0"/>
          <w:w w:val="100"/>
          <w:position w:val="0"/>
          <w:sz w:val="24"/>
          <w:szCs w:val="24"/>
        </w:rPr>
        <w:t>响应文件应</w:t>
      </w:r>
      <w:r>
        <w:rPr>
          <w:rFonts w:hint="eastAsia" w:cs="宋体"/>
          <w:color w:val="000000"/>
          <w:spacing w:val="0"/>
          <w:w w:val="100"/>
          <w:position w:val="0"/>
          <w:sz w:val="24"/>
          <w:szCs w:val="24"/>
          <w:lang w:eastAsia="zh-CN"/>
        </w:rPr>
        <w:t>密封</w:t>
      </w:r>
      <w:r>
        <w:rPr>
          <w:rFonts w:hint="eastAsia" w:ascii="宋体" w:hAnsi="宋体" w:eastAsia="宋体" w:cs="宋体"/>
          <w:color w:val="000000"/>
          <w:spacing w:val="0"/>
          <w:w w:val="100"/>
          <w:position w:val="0"/>
          <w:sz w:val="24"/>
          <w:szCs w:val="24"/>
        </w:rPr>
        <w:t>包装。</w:t>
      </w:r>
      <w:bookmarkStart w:id="278" w:name="bookmark359"/>
      <w:bookmarkEnd w:id="278"/>
      <w:r>
        <w:rPr>
          <w:rFonts w:hint="eastAsia" w:cs="宋体"/>
          <w:color w:val="000000"/>
          <w:spacing w:val="0"/>
          <w:w w:val="100"/>
          <w:position w:val="0"/>
          <w:sz w:val="24"/>
          <w:szCs w:val="24"/>
          <w:lang w:val="en-US" w:eastAsia="zh-CN"/>
        </w:rPr>
        <w:t>未</w:t>
      </w:r>
      <w:r>
        <w:rPr>
          <w:rFonts w:hint="eastAsia" w:cs="宋体"/>
          <w:color w:val="000000"/>
          <w:spacing w:val="0"/>
          <w:w w:val="100"/>
          <w:position w:val="0"/>
          <w:sz w:val="24"/>
          <w:szCs w:val="24"/>
          <w:lang w:eastAsia="zh-CN"/>
        </w:rPr>
        <w:t>密封的响应文件，采购人将拒绝接受</w:t>
      </w:r>
    </w:p>
    <w:p>
      <w:pPr>
        <w:pStyle w:val="27"/>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响应文件封套上应载明的内容见供应商须知前附表。</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279" w:name="_Toc5392"/>
      <w:bookmarkStart w:id="280" w:name="_Toc32496"/>
      <w:bookmarkStart w:id="281" w:name="_Toc30463"/>
      <w:bookmarkStart w:id="282" w:name="bookmark362"/>
      <w:bookmarkStart w:id="283" w:name="_Toc8183"/>
      <w:bookmarkStart w:id="284" w:name="bookmark361"/>
      <w:bookmarkStart w:id="285" w:name="bookmark360"/>
      <w:bookmarkStart w:id="286" w:name="_Toc19747"/>
      <w:bookmarkStart w:id="287" w:name="_Toc18585"/>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响应文件的递交</w:t>
      </w:r>
      <w:bookmarkEnd w:id="279"/>
      <w:bookmarkEnd w:id="280"/>
      <w:bookmarkEnd w:id="281"/>
      <w:bookmarkEnd w:id="282"/>
      <w:bookmarkEnd w:id="283"/>
      <w:bookmarkEnd w:id="284"/>
      <w:bookmarkEnd w:id="285"/>
      <w:bookmarkEnd w:id="286"/>
      <w:bookmarkEnd w:id="287"/>
    </w:p>
    <w:p>
      <w:pPr>
        <w:pStyle w:val="27"/>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240" w:lineRule="auto"/>
        <w:ind w:right="0" w:rightChars="0"/>
        <w:jc w:val="left"/>
        <w:textAlignment w:val="auto"/>
        <w:rPr>
          <w:rFonts w:hint="eastAsia" w:ascii="宋体" w:hAnsi="宋体" w:eastAsia="宋体" w:cs="宋体"/>
          <w:sz w:val="24"/>
          <w:szCs w:val="24"/>
        </w:rPr>
      </w:pPr>
      <w:bookmarkStart w:id="288" w:name="bookmark363"/>
      <w:bookmarkEnd w:id="288"/>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除供应商须知前附表另有规定外，供应商所递交的响应文件不予退还。</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289" w:name="_Toc3406"/>
      <w:bookmarkStart w:id="290" w:name="bookmark366"/>
      <w:bookmarkStart w:id="291" w:name="_Toc22330"/>
      <w:bookmarkStart w:id="292" w:name="_Toc7249"/>
      <w:bookmarkStart w:id="293" w:name="bookmark365"/>
      <w:bookmarkStart w:id="294" w:name="_Toc16611"/>
      <w:bookmarkStart w:id="295" w:name="_Toc11173"/>
      <w:bookmarkStart w:id="296" w:name="_Toc8403"/>
      <w:bookmarkStart w:id="297" w:name="bookmark364"/>
      <w:r>
        <w:rPr>
          <w:rFonts w:hint="eastAsia" w:ascii="宋体" w:hAnsi="宋体" w:eastAsia="宋体" w:cs="宋体"/>
          <w:sz w:val="24"/>
          <w:szCs w:val="24"/>
          <w:lang w:val="en-US" w:eastAsia="en-US"/>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响应文件的修改与撤回</w:t>
      </w:r>
      <w:bookmarkEnd w:id="289"/>
      <w:bookmarkEnd w:id="290"/>
      <w:bookmarkEnd w:id="291"/>
      <w:bookmarkEnd w:id="292"/>
      <w:bookmarkEnd w:id="293"/>
      <w:bookmarkEnd w:id="294"/>
      <w:bookmarkEnd w:id="295"/>
      <w:bookmarkEnd w:id="296"/>
      <w:bookmarkEnd w:id="297"/>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1项规定的递交响应文件的截止时间前，供应商可以修改或撤回已递交的响应文件，但应以书面形式通知采购人。</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的修改文件或供应商撤回已递交响应文件的书面通知应由供应商的法定代表人(单位负责人)或其授权的代理人签字并加盖单位章。采购人收到供应商修改响应文件的书面文件后，向供应商出具接收凭证；釆购人收到供应商撤回响应文件的书面通知后，退回供应商的响应文件。</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除供应商须知前附表另有规定外，供应商撤回响应文件的，采购人应在5日内退还已收取的响应保证金。</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修改的内容为响应文件的组成部分。响应文件的修改文件应按照本章第3条、第4条的规定进行编制、包装、标记和递交，并标明</w:t>
      </w:r>
      <w:r>
        <w:rPr>
          <w:rFonts w:hint="eastAsia" w:ascii="宋体" w:hAnsi="宋体" w:eastAsia="宋体" w:cs="宋体"/>
          <w:color w:val="000000"/>
          <w:spacing w:val="0"/>
          <w:w w:val="100"/>
          <w:position w:val="0"/>
          <w:sz w:val="24"/>
          <w:szCs w:val="24"/>
          <w:lang w:val="zh-CN" w:eastAsia="zh-CN" w:bidi="zh-CN"/>
        </w:rPr>
        <w:t>“修</w:t>
      </w:r>
      <w:r>
        <w:rPr>
          <w:rFonts w:hint="eastAsia" w:ascii="宋体" w:hAnsi="宋体" w:eastAsia="宋体" w:cs="宋体"/>
          <w:color w:val="000000"/>
          <w:spacing w:val="0"/>
          <w:w w:val="100"/>
          <w:position w:val="0"/>
          <w:sz w:val="24"/>
          <w:szCs w:val="24"/>
        </w:rPr>
        <w:t>改”字样。</w:t>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298" w:name="bookmark368"/>
      <w:bookmarkStart w:id="299" w:name="_Toc10510"/>
      <w:bookmarkStart w:id="300" w:name="bookmark367"/>
      <w:bookmarkStart w:id="301" w:name="bookmark369"/>
      <w:bookmarkStart w:id="302" w:name="_Toc11146"/>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开启响应文件</w:t>
      </w:r>
      <w:bookmarkEnd w:id="298"/>
      <w:bookmarkEnd w:id="299"/>
      <w:bookmarkEnd w:id="300"/>
      <w:bookmarkEnd w:id="301"/>
      <w:bookmarkEnd w:id="302"/>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303" w:name="_Toc20516"/>
      <w:bookmarkStart w:id="304" w:name="bookmark372"/>
      <w:bookmarkStart w:id="305" w:name="_Toc4037"/>
      <w:bookmarkStart w:id="306" w:name="bookmark371"/>
      <w:bookmarkStart w:id="307" w:name="_Toc944"/>
      <w:bookmarkStart w:id="308" w:name="bookmark370"/>
      <w:bookmarkStart w:id="309" w:name="_Toc20471"/>
      <w:bookmarkStart w:id="310" w:name="_Toc9819"/>
      <w:bookmarkStart w:id="311" w:name="_Toc9467"/>
      <w:r>
        <w:rPr>
          <w:rFonts w:hint="eastAsia" w:ascii="宋体" w:hAnsi="宋体" w:eastAsia="宋体" w:cs="宋体"/>
          <w:sz w:val="24"/>
          <w:szCs w:val="24"/>
          <w:lang w:val="en-US" w:eastAsia="en-US"/>
        </w:rPr>
        <w:t>5.</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开启响应文件的时间和地点</w:t>
      </w:r>
      <w:bookmarkEnd w:id="303"/>
      <w:bookmarkEnd w:id="304"/>
      <w:bookmarkEnd w:id="305"/>
      <w:bookmarkEnd w:id="306"/>
      <w:bookmarkEnd w:id="307"/>
      <w:bookmarkEnd w:id="308"/>
      <w:bookmarkEnd w:id="309"/>
      <w:bookmarkEnd w:id="310"/>
      <w:bookmarkEnd w:id="311"/>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和地点公开开启响应文件，并邀请所有供应商的法定代表人(单位负责人)或其授权的代理人参加开启会议，供应商未派代表参加的，视为默认开启结果。由授权代理人参加开启会议的，代理人须手持授权委托书原件到场。</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312" w:name="bookmark374"/>
      <w:bookmarkStart w:id="313" w:name="_Toc8904"/>
      <w:bookmarkStart w:id="314" w:name="_Toc27183"/>
      <w:bookmarkStart w:id="315" w:name="bookmark375"/>
      <w:bookmarkStart w:id="316" w:name="_Toc9231"/>
      <w:bookmarkStart w:id="317" w:name="bookmark373"/>
      <w:bookmarkStart w:id="318" w:name="_Toc26487"/>
      <w:bookmarkStart w:id="319" w:name="_Toc11133"/>
      <w:bookmarkStart w:id="320" w:name="_Toc28292"/>
      <w:r>
        <w:rPr>
          <w:rFonts w:hint="eastAsia" w:ascii="宋体" w:hAnsi="宋体" w:eastAsia="宋体" w:cs="宋体"/>
          <w:sz w:val="24"/>
          <w:szCs w:val="24"/>
          <w:lang w:val="en-US" w:eastAsia="en-US"/>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开启程序</w:t>
      </w:r>
      <w:bookmarkEnd w:id="312"/>
      <w:bookmarkEnd w:id="313"/>
      <w:bookmarkEnd w:id="314"/>
      <w:bookmarkEnd w:id="315"/>
      <w:bookmarkEnd w:id="316"/>
      <w:bookmarkEnd w:id="317"/>
      <w:bookmarkEnd w:id="318"/>
      <w:bookmarkEnd w:id="319"/>
      <w:bookmarkEnd w:id="320"/>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主持人按下列程序公开开启响应文件：</w:t>
      </w:r>
    </w:p>
    <w:p>
      <w:pPr>
        <w:pStyle w:val="2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21" w:name="bookmark376"/>
      <w:bookmarkEnd w:id="32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宣布开启会议纪律；</w:t>
      </w:r>
    </w:p>
    <w:p>
      <w:pPr>
        <w:pStyle w:val="2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22" w:name="bookmark377"/>
      <w:bookmarkEnd w:id="32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宣布参加开启会议的工作人员姓名；</w:t>
      </w:r>
    </w:p>
    <w:p>
      <w:pPr>
        <w:pStyle w:val="2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23" w:name="bookmark378"/>
      <w:bookmarkEnd w:id="32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供应商代表检查确认响应文件的密封情况；</w:t>
      </w:r>
    </w:p>
    <w:p>
      <w:pPr>
        <w:pStyle w:val="27"/>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24" w:name="bookmark379"/>
      <w:bookmarkEnd w:id="32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按照供应商须知前附表规定的开启顺序开启响应文件，公布递交响应文件的供应商名称</w:t>
      </w:r>
      <w:r>
        <w:rPr>
          <w:rFonts w:hint="eastAsia" w:cs="宋体"/>
          <w:color w:val="000000"/>
          <w:spacing w:val="0"/>
          <w:w w:val="100"/>
          <w:position w:val="0"/>
          <w:sz w:val="24"/>
          <w:szCs w:val="24"/>
          <w:lang w:eastAsia="zh-CN"/>
        </w:rPr>
        <w:t>、响应报价</w:t>
      </w:r>
      <w:r>
        <w:rPr>
          <w:rFonts w:hint="eastAsia" w:ascii="宋体" w:hAnsi="宋体" w:eastAsia="宋体" w:cs="宋体"/>
          <w:color w:val="000000"/>
          <w:spacing w:val="0"/>
          <w:w w:val="100"/>
          <w:position w:val="0"/>
          <w:sz w:val="24"/>
          <w:szCs w:val="24"/>
        </w:rPr>
        <w:t>及供应商须知前附表规定的其他应公布的信息，并记录在案；</w:t>
      </w:r>
    </w:p>
    <w:p>
      <w:pPr>
        <w:pStyle w:val="2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25" w:name="bookmark380"/>
      <w:bookmarkEnd w:id="32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供应商代表及相关工作人员等在响应文件开启记录上签字确认；</w:t>
      </w:r>
    </w:p>
    <w:p>
      <w:pPr>
        <w:pStyle w:val="27"/>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26" w:name="bookmark381"/>
      <w:bookmarkEnd w:id="32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宣布有关注意事项；</w:t>
      </w:r>
    </w:p>
    <w:p>
      <w:pPr>
        <w:pStyle w:val="27"/>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240" w:lineRule="auto"/>
        <w:ind w:leftChars="200" w:right="0" w:rightChars="0"/>
        <w:jc w:val="left"/>
        <w:textAlignment w:val="auto"/>
        <w:rPr>
          <w:rFonts w:hint="default" w:ascii="宋体" w:hAnsi="宋体" w:eastAsia="宋体" w:cs="宋体"/>
          <w:color w:val="000000"/>
          <w:spacing w:val="0"/>
          <w:w w:val="100"/>
          <w:position w:val="0"/>
          <w:sz w:val="24"/>
          <w:szCs w:val="24"/>
          <w:lang w:val="en-US"/>
        </w:rPr>
      </w:pPr>
      <w:bookmarkStart w:id="327" w:name="bookmark382"/>
      <w:bookmarkEnd w:id="327"/>
      <w:bookmarkStart w:id="328" w:name="_Toc17500"/>
      <w:bookmarkStart w:id="329" w:name="_Toc562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供应商</w:t>
      </w:r>
      <w:r>
        <w:rPr>
          <w:rFonts w:hint="eastAsia" w:ascii="宋体" w:hAnsi="宋体" w:eastAsia="宋体" w:cs="宋体"/>
          <w:color w:val="000000"/>
          <w:spacing w:val="0"/>
          <w:w w:val="100"/>
          <w:position w:val="0"/>
          <w:sz w:val="24"/>
          <w:szCs w:val="24"/>
        </w:rPr>
        <w:t>代表</w:t>
      </w:r>
      <w:r>
        <w:rPr>
          <w:rFonts w:hint="eastAsia" w:cs="宋体"/>
          <w:color w:val="000000"/>
          <w:spacing w:val="0"/>
          <w:w w:val="100"/>
          <w:position w:val="0"/>
          <w:sz w:val="24"/>
          <w:szCs w:val="24"/>
          <w:lang w:val="en-US" w:eastAsia="zh-CN"/>
        </w:rPr>
        <w:t>在开启会议现场提交签字确定的二次报价（最终报价）；</w:t>
      </w:r>
    </w:p>
    <w:p>
      <w:pPr>
        <w:pStyle w:val="27"/>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会议结束。</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s="宋体"/>
          <w:color w:val="000000"/>
          <w:spacing w:val="0"/>
          <w:w w:val="100"/>
          <w:position w:val="0"/>
          <w:szCs w:val="24"/>
          <w:lang w:val="en-US" w:eastAsia="zh-CN"/>
        </w:rPr>
      </w:pPr>
      <w:bookmarkStart w:id="330" w:name="_Toc15993"/>
      <w:bookmarkStart w:id="331" w:name="_Toc14936"/>
      <w:bookmarkStart w:id="332" w:name="_Toc1292"/>
      <w:r>
        <w:rPr>
          <w:rFonts w:hint="eastAsia" w:ascii="宋体" w:hAnsi="宋体" w:eastAsia="宋体" w:cs="宋体"/>
          <w:sz w:val="24"/>
          <w:szCs w:val="24"/>
          <w:lang w:val="en-US" w:eastAsia="zh-CN"/>
        </w:rPr>
        <w:t>5.3 递交响应文件的供应商不足的情形</w:t>
      </w:r>
      <w:bookmarkEnd w:id="328"/>
      <w:bookmarkEnd w:id="329"/>
      <w:bookmarkEnd w:id="330"/>
      <w:bookmarkEnd w:id="331"/>
      <w:bookmarkEnd w:id="332"/>
    </w:p>
    <w:p>
      <w:pPr>
        <w:pStyle w:val="27"/>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采购项目选择溢价成交供应商时，递交响应文件的供应商数量不足三家的，或采购项目选择多家成交供应商时，递交响应文件的供应商数量少于供应商须知前附表规定数量的，采购人可按照下述情况分别处理：</w:t>
      </w:r>
    </w:p>
    <w:p>
      <w:pPr>
        <w:pStyle w:val="27"/>
        <w:keepNext w:val="0"/>
        <w:keepLines w:val="0"/>
        <w:pageBreakBefore w:val="0"/>
        <w:widowControl w:val="0"/>
        <w:numPr>
          <w:ilvl w:val="0"/>
          <w:numId w:val="4"/>
        </w:numPr>
        <w:shd w:val="clear" w:color="auto" w:fill="auto"/>
        <w:tabs>
          <w:tab w:val="left" w:pos="1031"/>
        </w:tabs>
        <w:kinsoku/>
        <w:wordWrap/>
        <w:overflowPunct/>
        <w:topLinePunct w:val="0"/>
        <w:autoSpaceDE/>
        <w:autoSpaceDN/>
        <w:bidi w:val="0"/>
        <w:adjustRightInd/>
        <w:snapToGrid/>
        <w:spacing w:before="0" w:after="0" w:line="240" w:lineRule="auto"/>
        <w:ind w:leftChars="200" w:right="0" w:right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终止询比并重新组织采购</w:t>
      </w:r>
    </w:p>
    <w:p>
      <w:pPr>
        <w:pStyle w:val="27"/>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采购项目存在影响公平竞争情形的，采购人应当终止询比采购，并根据不同情形和原因，采取相应纠正措施，重新组织采购。</w:t>
      </w:r>
    </w:p>
    <w:p>
      <w:pPr>
        <w:pStyle w:val="27"/>
        <w:keepNext w:val="0"/>
        <w:keepLines w:val="0"/>
        <w:pageBreakBefore w:val="0"/>
        <w:widowControl w:val="0"/>
        <w:numPr>
          <w:ilvl w:val="0"/>
          <w:numId w:val="4"/>
        </w:numPr>
        <w:shd w:val="clear" w:color="auto" w:fill="auto"/>
        <w:tabs>
          <w:tab w:val="left" w:pos="1031"/>
        </w:tabs>
        <w:kinsoku/>
        <w:wordWrap/>
        <w:overflowPunct/>
        <w:topLinePunct w:val="0"/>
        <w:autoSpaceDE/>
        <w:autoSpaceDN/>
        <w:bidi w:val="0"/>
        <w:adjustRightInd/>
        <w:snapToGrid/>
        <w:spacing w:before="0" w:after="0" w:line="240" w:lineRule="auto"/>
        <w:ind w:left="480" w:leftChars="200" w:right="0" w:rightChars="0" w:firstLine="400" w:firstLine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继续询比采购</w:t>
      </w:r>
    </w:p>
    <w:p>
      <w:pPr>
        <w:pStyle w:val="27"/>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240" w:lineRule="auto"/>
        <w:ind w:leftChars="200" w:right="0" w:right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不存在终止询比情形，且采购人也没有自行选择终止询比采购的，采购人应按照本章第5.2款规定的程序继续开启响应文件，并按照第三章“评审办法”规定的规则组织响应文件评审，完成询比采购后续程序。</w:t>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333" w:name="_Toc26855"/>
      <w:bookmarkStart w:id="334" w:name="bookmark385"/>
      <w:bookmarkStart w:id="335" w:name="bookmark383"/>
      <w:bookmarkStart w:id="336" w:name="_Toc10013"/>
      <w:bookmarkStart w:id="337" w:name="bookmark384"/>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w:t>
      </w:r>
      <w:bookmarkEnd w:id="333"/>
      <w:bookmarkEnd w:id="334"/>
      <w:bookmarkEnd w:id="335"/>
      <w:bookmarkEnd w:id="336"/>
      <w:bookmarkEnd w:id="337"/>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338" w:name="bookmark388"/>
      <w:bookmarkStart w:id="339" w:name="_Toc26108"/>
      <w:bookmarkStart w:id="340" w:name="_Toc25845"/>
      <w:bookmarkStart w:id="341" w:name="_Toc22626"/>
      <w:bookmarkStart w:id="342" w:name="_Toc18040"/>
      <w:bookmarkStart w:id="343" w:name="_Toc1141"/>
      <w:bookmarkStart w:id="344" w:name="_Toc25667"/>
      <w:bookmarkStart w:id="345" w:name="bookmark387"/>
      <w:bookmarkStart w:id="346" w:name="bookmark386"/>
      <w:r>
        <w:rPr>
          <w:rFonts w:hint="eastAsia" w:ascii="宋体" w:hAnsi="宋体" w:eastAsia="宋体" w:cs="宋体"/>
          <w:sz w:val="24"/>
          <w:szCs w:val="24"/>
          <w:lang w:val="en-US" w:eastAsia="en-US"/>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评审</w:t>
      </w:r>
      <w:r>
        <w:rPr>
          <w:rFonts w:hint="eastAsia" w:ascii="宋体" w:hAnsi="宋体" w:eastAsia="宋体" w:cs="宋体"/>
          <w:sz w:val="24"/>
          <w:szCs w:val="24"/>
        </w:rPr>
        <w:t>小组</w:t>
      </w:r>
      <w:bookmarkEnd w:id="338"/>
      <w:bookmarkEnd w:id="339"/>
      <w:bookmarkEnd w:id="340"/>
      <w:bookmarkEnd w:id="341"/>
      <w:bookmarkEnd w:id="342"/>
      <w:bookmarkEnd w:id="343"/>
      <w:bookmarkEnd w:id="344"/>
      <w:bookmarkEnd w:id="345"/>
      <w:bookmarkEnd w:id="346"/>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6.1.1</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评审由采购人组建的评审小组负责</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小组成员有下列情形之一的，应当回避：</w:t>
      </w:r>
    </w:p>
    <w:p>
      <w:pPr>
        <w:pStyle w:val="2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47" w:name="bookmark389"/>
      <w:bookmarkEnd w:id="34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供应商主要负责人或供应商主要负责人的近亲属；</w:t>
      </w:r>
    </w:p>
    <w:p>
      <w:pPr>
        <w:pStyle w:val="2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48" w:name="bookmark390"/>
      <w:bookmarkEnd w:id="34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与供应商有经济利益关系或其他利害关系，可能影响公正评审的。</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小组组建后，</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小组成员共同推选或由采购人指定</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小组组长负责组织评审工作。</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在评审过程中，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小组成员对需要共同认定的事项存在争议的，将按照少数服从多数的原则作出结论。持不同意见的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小组成员应当在评审报告上签署不同意见及理由，否则视为同意评审报告。</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349" w:name="bookmark391"/>
      <w:bookmarkStart w:id="350" w:name="_Toc31664"/>
      <w:bookmarkStart w:id="351" w:name="bookmark392"/>
      <w:bookmarkStart w:id="352" w:name="_Toc7236"/>
      <w:bookmarkStart w:id="353" w:name="_Toc25564"/>
      <w:bookmarkStart w:id="354" w:name="_Toc9624"/>
      <w:bookmarkStart w:id="355" w:name="_Toc19701"/>
      <w:bookmarkStart w:id="356" w:name="bookmark393"/>
      <w:bookmarkStart w:id="357" w:name="_Toc1481"/>
      <w:r>
        <w:rPr>
          <w:rFonts w:hint="eastAsia" w:ascii="宋体" w:hAnsi="宋体" w:eastAsia="宋体" w:cs="宋体"/>
          <w:sz w:val="24"/>
          <w:szCs w:val="24"/>
          <w:lang w:val="en-US" w:eastAsia="en-US"/>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w:t>
      </w:r>
      <w:bookmarkEnd w:id="349"/>
      <w:bookmarkEnd w:id="350"/>
      <w:bookmarkEnd w:id="351"/>
      <w:bookmarkEnd w:id="352"/>
      <w:bookmarkEnd w:id="353"/>
      <w:bookmarkEnd w:id="354"/>
      <w:bookmarkEnd w:id="355"/>
      <w:bookmarkEnd w:id="356"/>
      <w:bookmarkEnd w:id="357"/>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办法”规定的评审标准和程序对响应文件进行评审</w:t>
      </w:r>
      <w:r>
        <w:rPr>
          <w:rFonts w:hint="eastAsia" w:cs="宋体"/>
          <w:color w:val="000000"/>
          <w:spacing w:val="0"/>
          <w:w w:val="100"/>
          <w:position w:val="0"/>
          <w:sz w:val="24"/>
          <w:szCs w:val="24"/>
          <w:lang w:eastAsia="zh-CN"/>
        </w:rPr>
        <w:t>和比较</w:t>
      </w:r>
      <w:r>
        <w:rPr>
          <w:rFonts w:hint="eastAsia" w:ascii="宋体" w:hAnsi="宋体" w:eastAsia="宋体" w:cs="宋体"/>
          <w:color w:val="000000"/>
          <w:spacing w:val="0"/>
          <w:w w:val="100"/>
          <w:position w:val="0"/>
          <w:sz w:val="24"/>
          <w:szCs w:val="24"/>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评审完成后，评审小组应当向采购人提交书面评审报告和候选成交供应商名单。评审小组推荐成交供应商的排序要求及数量见供应商须知前附表。</w:t>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358" w:name="bookmark413"/>
      <w:bookmarkStart w:id="359" w:name="bookmark414"/>
      <w:bookmarkStart w:id="360" w:name="_Toc19253"/>
      <w:bookmarkStart w:id="361" w:name="bookmark412"/>
      <w:bookmarkStart w:id="362" w:name="_Toc20754"/>
      <w:r>
        <w:rPr>
          <w:rFonts w:hint="eastAsia" w:ascii="宋体" w:hAnsi="宋体" w:eastAsia="宋体" w:cs="宋体"/>
          <w:sz w:val="28"/>
          <w:szCs w:val="28"/>
        </w:rPr>
        <w:t>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合同授予</w:t>
      </w:r>
      <w:bookmarkEnd w:id="358"/>
      <w:bookmarkEnd w:id="359"/>
      <w:bookmarkEnd w:id="360"/>
      <w:bookmarkEnd w:id="361"/>
      <w:bookmarkEnd w:id="362"/>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363" w:name="_Toc29218"/>
      <w:bookmarkStart w:id="364" w:name="bookmark415"/>
      <w:bookmarkStart w:id="365" w:name="bookmark416"/>
      <w:bookmarkStart w:id="366" w:name="_Toc23245"/>
      <w:bookmarkStart w:id="367" w:name="bookmark417"/>
      <w:bookmarkStart w:id="368" w:name="_Toc9166"/>
      <w:bookmarkStart w:id="369" w:name="_Toc6222"/>
      <w:bookmarkStart w:id="370" w:name="_Toc20992"/>
      <w:bookmarkStart w:id="371" w:name="_Toc26120"/>
      <w:r>
        <w:rPr>
          <w:rFonts w:hint="eastAsia" w:ascii="宋体" w:hAnsi="宋体" w:eastAsia="宋体" w:cs="宋体"/>
          <w:sz w:val="24"/>
          <w:szCs w:val="24"/>
          <w:lang w:val="en-US" w:eastAsia="en-US"/>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候选成交供应商履约能力核查</w:t>
      </w:r>
      <w:bookmarkEnd w:id="363"/>
      <w:bookmarkEnd w:id="364"/>
      <w:bookmarkEnd w:id="365"/>
      <w:bookmarkEnd w:id="366"/>
      <w:bookmarkEnd w:id="367"/>
      <w:bookmarkEnd w:id="368"/>
      <w:bookmarkEnd w:id="369"/>
      <w:bookmarkEnd w:id="370"/>
      <w:bookmarkEnd w:id="371"/>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采购人可对候选成交供应商的相关证明材料原件进行核验或组织现场考察，以确认候选成交供应商的生产经营、财务等实际状况与响应文件是否一致以及是否存在其他可能影响供应商履约能力的情况。核查结果将作为采购人选择确定预成交供应商的依据之一</w:t>
      </w:r>
      <w:r>
        <w:rPr>
          <w:rFonts w:hint="eastAsia" w:cs="宋体"/>
          <w:color w:val="000000"/>
          <w:spacing w:val="0"/>
          <w:w w:val="100"/>
          <w:position w:val="0"/>
          <w:sz w:val="24"/>
          <w:szCs w:val="24"/>
          <w:lang w:eastAsia="zh-CN"/>
        </w:rPr>
        <w:t>。</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372" w:name="_Toc20871"/>
      <w:bookmarkStart w:id="373" w:name="bookmark419"/>
      <w:bookmarkStart w:id="374" w:name="_Toc14014"/>
      <w:bookmarkStart w:id="375" w:name="_Toc31848"/>
      <w:bookmarkStart w:id="376" w:name="bookmark420"/>
      <w:bookmarkStart w:id="377" w:name="_Toc30778"/>
      <w:bookmarkStart w:id="378" w:name="_Toc10938"/>
      <w:bookmarkStart w:id="379" w:name="_Toc24234"/>
      <w:bookmarkStart w:id="380" w:name="bookmark418"/>
      <w:r>
        <w:rPr>
          <w:rFonts w:hint="eastAsia" w:ascii="宋体" w:hAnsi="宋体" w:eastAsia="宋体" w:cs="宋体"/>
          <w:sz w:val="24"/>
          <w:szCs w:val="24"/>
          <w:lang w:val="en-US" w:eastAsia="en-US"/>
        </w:rPr>
        <w:t>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确定预成交供应商</w:t>
      </w:r>
      <w:bookmarkEnd w:id="372"/>
      <w:bookmarkEnd w:id="373"/>
      <w:bookmarkEnd w:id="374"/>
      <w:bookmarkEnd w:id="375"/>
      <w:bookmarkEnd w:id="376"/>
      <w:bookmarkEnd w:id="377"/>
      <w:bookmarkEnd w:id="378"/>
      <w:bookmarkEnd w:id="379"/>
      <w:bookmarkEnd w:id="380"/>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采购人将根据评审报告及核查结果(如有)，对候选成交供应商综合评估后从中选择确定预成交供应商。</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381" w:name="bookmark422"/>
      <w:bookmarkStart w:id="382" w:name="bookmark423"/>
      <w:bookmarkStart w:id="383" w:name="_Toc5761"/>
      <w:bookmarkStart w:id="384" w:name="_Toc28991"/>
      <w:bookmarkStart w:id="385" w:name="_Toc5578"/>
      <w:bookmarkStart w:id="386" w:name="_Toc32183"/>
      <w:bookmarkStart w:id="387" w:name="bookmark421"/>
      <w:bookmarkStart w:id="388" w:name="_Toc614"/>
      <w:bookmarkStart w:id="389" w:name="_Toc23750"/>
      <w:r>
        <w:rPr>
          <w:rFonts w:hint="eastAsia" w:ascii="宋体" w:hAnsi="宋体" w:eastAsia="宋体" w:cs="宋体"/>
          <w:sz w:val="24"/>
          <w:szCs w:val="24"/>
          <w:lang w:val="en-US" w:eastAsia="en-US"/>
        </w:rPr>
        <w:t>7.</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预成交结果公示</w:t>
      </w:r>
      <w:bookmarkEnd w:id="381"/>
      <w:bookmarkEnd w:id="382"/>
      <w:bookmarkEnd w:id="383"/>
      <w:bookmarkEnd w:id="384"/>
      <w:bookmarkEnd w:id="385"/>
      <w:bookmarkEnd w:id="386"/>
      <w:bookmarkEnd w:id="387"/>
      <w:bookmarkEnd w:id="388"/>
      <w:bookmarkEnd w:id="389"/>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预成交供应商选定后，采购人将按照供应商须知前附表规定的公示媒介和公示期限进行公示，公示信息包括如下内容：</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90" w:name="bookmark424"/>
      <w:bookmarkEnd w:id="39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所有候选成交供应商名称、响应价格及工期/交货期/服务期限；</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391" w:name="bookmark425"/>
      <w:bookmarkEnd w:id="39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预成交供应商名称、预成交份额(如有)及选择原因；</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392" w:name="bookmark426"/>
      <w:bookmarkEnd w:id="39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供应商须知前附表规定的其他内容。</w:t>
      </w:r>
    </w:p>
    <w:p>
      <w:pPr>
        <w:pStyle w:val="4"/>
        <w:pageBreakBefore w:val="0"/>
        <w:widowControl w:val="0"/>
        <w:kinsoku/>
        <w:wordWrap/>
        <w:overflowPunct/>
        <w:topLinePunct w:val="0"/>
        <w:autoSpaceDE/>
        <w:autoSpaceDN/>
        <w:bidi w:val="0"/>
        <w:adjustRightInd/>
        <w:snapToGrid/>
        <w:spacing w:before="0" w:beforeLines="0" w:after="0" w:afterLines="0" w:line="240" w:lineRule="auto"/>
        <w:ind w:leftChars="0" w:right="0"/>
        <w:jc w:val="left"/>
        <w:textAlignment w:val="auto"/>
        <w:rPr>
          <w:rFonts w:hint="eastAsia" w:ascii="宋体" w:hAnsi="宋体" w:eastAsia="宋体" w:cs="宋体"/>
          <w:sz w:val="24"/>
          <w:szCs w:val="24"/>
        </w:rPr>
      </w:pPr>
      <w:bookmarkStart w:id="393" w:name="_Toc10875"/>
      <w:bookmarkStart w:id="394" w:name="_Toc13480"/>
      <w:bookmarkStart w:id="395" w:name="_Toc25284"/>
      <w:bookmarkStart w:id="396" w:name="bookmark427"/>
      <w:bookmarkStart w:id="397" w:name="bookmark428"/>
      <w:bookmarkStart w:id="398" w:name="_Toc3351"/>
      <w:bookmarkStart w:id="399" w:name="_Toc6368"/>
      <w:bookmarkStart w:id="400" w:name="_Toc26915"/>
      <w:bookmarkStart w:id="401" w:name="bookmark429"/>
      <w:r>
        <w:rPr>
          <w:rFonts w:hint="eastAsia" w:ascii="宋体" w:hAnsi="宋体" w:eastAsia="宋体" w:cs="宋体"/>
          <w:sz w:val="24"/>
          <w:szCs w:val="24"/>
          <w:lang w:val="en-US" w:eastAsia="en-US"/>
        </w:rPr>
        <w:t>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发出成交通知书</w:t>
      </w:r>
      <w:bookmarkEnd w:id="393"/>
      <w:bookmarkEnd w:id="394"/>
      <w:bookmarkEnd w:id="395"/>
      <w:bookmarkEnd w:id="396"/>
      <w:bookmarkEnd w:id="397"/>
      <w:bookmarkEnd w:id="398"/>
      <w:bookmarkEnd w:id="399"/>
      <w:bookmarkEnd w:id="400"/>
      <w:bookmarkEnd w:id="401"/>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公示期结束后，在本章第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3款规定的响应文件有效期内，采购人以书面形式向预成交供应商发出成交通知书。</w:t>
      </w:r>
    </w:p>
    <w:p>
      <w:pPr>
        <w:pStyle w:val="4"/>
        <w:pageBreakBefore w:val="0"/>
        <w:widowControl w:val="0"/>
        <w:kinsoku/>
        <w:wordWrap/>
        <w:overflowPunct/>
        <w:topLinePunct w:val="0"/>
        <w:autoSpaceDE/>
        <w:autoSpaceDN/>
        <w:bidi w:val="0"/>
        <w:adjustRightInd/>
        <w:snapToGrid/>
        <w:spacing w:before="0" w:beforeLines="0" w:after="0" w:afterLines="0" w:line="240" w:lineRule="auto"/>
        <w:ind w:leftChars="0" w:right="0"/>
        <w:jc w:val="left"/>
        <w:textAlignment w:val="auto"/>
        <w:rPr>
          <w:rFonts w:hint="eastAsia" w:ascii="宋体" w:hAnsi="宋体" w:eastAsia="宋体" w:cs="宋体"/>
          <w:sz w:val="24"/>
          <w:szCs w:val="24"/>
        </w:rPr>
      </w:pPr>
      <w:bookmarkStart w:id="402" w:name="bookmark432"/>
      <w:bookmarkStart w:id="403" w:name="_Toc12915"/>
      <w:bookmarkStart w:id="404" w:name="_Toc28023"/>
      <w:bookmarkStart w:id="405" w:name="_Toc18473"/>
      <w:bookmarkStart w:id="406" w:name="_Toc30054"/>
      <w:bookmarkStart w:id="407" w:name="_Toc24979"/>
      <w:bookmarkStart w:id="408" w:name="_Toc31270"/>
      <w:bookmarkStart w:id="409" w:name="bookmark431"/>
      <w:bookmarkStart w:id="410" w:name="bookmark430"/>
      <w:r>
        <w:rPr>
          <w:rFonts w:hint="eastAsia" w:ascii="宋体" w:hAnsi="宋体" w:eastAsia="宋体" w:cs="宋体"/>
          <w:sz w:val="24"/>
          <w:szCs w:val="24"/>
          <w:lang w:val="en-US" w:eastAsia="en-US"/>
        </w:rPr>
        <w:t>7.5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发布成交公告</w:t>
      </w:r>
      <w:bookmarkEnd w:id="402"/>
      <w:bookmarkEnd w:id="403"/>
      <w:bookmarkEnd w:id="404"/>
      <w:bookmarkEnd w:id="405"/>
      <w:bookmarkEnd w:id="406"/>
      <w:bookmarkEnd w:id="407"/>
      <w:bookmarkEnd w:id="408"/>
      <w:bookmarkEnd w:id="409"/>
      <w:bookmarkEnd w:id="410"/>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在发出成交通知书的同时，釆购人将在供应商须知前附表规定的公告媒介发布成交公告，公告信息包括成交供应商名称、响应价格及工期/交货期/服务期限、成交份额(如有)及供应商须知前附表规定的其他内容。</w:t>
      </w:r>
    </w:p>
    <w:p>
      <w:pPr>
        <w:pStyle w:val="4"/>
        <w:pageBreakBefore w:val="0"/>
        <w:widowControl w:val="0"/>
        <w:kinsoku/>
        <w:wordWrap/>
        <w:overflowPunct/>
        <w:topLinePunct w:val="0"/>
        <w:autoSpaceDE/>
        <w:autoSpaceDN/>
        <w:bidi w:val="0"/>
        <w:adjustRightInd/>
        <w:snapToGrid/>
        <w:spacing w:before="0" w:beforeLines="0" w:after="0" w:afterLines="0" w:line="240" w:lineRule="auto"/>
        <w:ind w:leftChars="0" w:right="0"/>
        <w:jc w:val="left"/>
        <w:textAlignment w:val="auto"/>
        <w:rPr>
          <w:rFonts w:hint="eastAsia" w:ascii="宋体" w:hAnsi="宋体" w:eastAsia="宋体" w:cs="宋体"/>
          <w:sz w:val="24"/>
          <w:szCs w:val="24"/>
        </w:rPr>
      </w:pPr>
      <w:bookmarkStart w:id="411" w:name="bookmark435"/>
      <w:bookmarkStart w:id="412" w:name="_Toc32415"/>
      <w:bookmarkStart w:id="413" w:name="_Toc15090"/>
      <w:bookmarkStart w:id="414" w:name="bookmark433"/>
      <w:bookmarkStart w:id="415" w:name="bookmark434"/>
      <w:bookmarkStart w:id="416" w:name="_Toc3526"/>
      <w:bookmarkStart w:id="417" w:name="_Toc4556"/>
      <w:bookmarkStart w:id="418" w:name="_Toc1480"/>
      <w:bookmarkStart w:id="419" w:name="_Toc20306"/>
      <w:r>
        <w:rPr>
          <w:rFonts w:hint="eastAsia" w:ascii="宋体" w:hAnsi="宋体" w:eastAsia="宋体" w:cs="宋体"/>
          <w:sz w:val="24"/>
          <w:szCs w:val="24"/>
          <w:lang w:val="en-US" w:eastAsia="en-US"/>
        </w:rPr>
        <w:t>7.6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履约保证金</w:t>
      </w:r>
      <w:bookmarkEnd w:id="411"/>
      <w:bookmarkEnd w:id="412"/>
      <w:bookmarkEnd w:id="413"/>
      <w:bookmarkEnd w:id="414"/>
      <w:bookmarkEnd w:id="415"/>
      <w:bookmarkEnd w:id="416"/>
      <w:bookmarkEnd w:id="417"/>
      <w:bookmarkEnd w:id="418"/>
      <w:bookmarkEnd w:id="419"/>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供应商须知前附表规定递交履约保证金的，成交供应商应按供应商须知前附表规定的形式、有效期限和递交时间向采购人递交履约保证金。除供应商须知前附表另有规定外，履约保证金为采购合同金额的5%。</w:t>
      </w:r>
    </w:p>
    <w:p>
      <w:pPr>
        <w:pStyle w:val="4"/>
        <w:pageBreakBefore w:val="0"/>
        <w:widowControl w:val="0"/>
        <w:kinsoku/>
        <w:wordWrap/>
        <w:overflowPunct/>
        <w:topLinePunct w:val="0"/>
        <w:autoSpaceDE/>
        <w:autoSpaceDN/>
        <w:bidi w:val="0"/>
        <w:adjustRightInd/>
        <w:snapToGrid/>
        <w:spacing w:before="0" w:beforeLines="0" w:after="0" w:afterLines="0" w:line="240" w:lineRule="auto"/>
        <w:ind w:leftChars="0" w:right="0"/>
        <w:jc w:val="left"/>
        <w:textAlignment w:val="auto"/>
        <w:rPr>
          <w:rFonts w:hint="eastAsia" w:ascii="宋体" w:hAnsi="宋体" w:eastAsia="宋体" w:cs="宋体"/>
          <w:sz w:val="24"/>
          <w:szCs w:val="24"/>
        </w:rPr>
      </w:pPr>
      <w:bookmarkStart w:id="420" w:name="_Toc15975"/>
      <w:bookmarkStart w:id="421" w:name="_Toc6106"/>
      <w:bookmarkStart w:id="422" w:name="_Toc9738"/>
      <w:bookmarkStart w:id="423" w:name="_Toc26186"/>
      <w:bookmarkStart w:id="424" w:name="_Toc11189"/>
      <w:bookmarkStart w:id="425" w:name="_Toc25569"/>
      <w:bookmarkStart w:id="426" w:name="bookmark438"/>
      <w:bookmarkStart w:id="427" w:name="bookmark437"/>
      <w:bookmarkStart w:id="428" w:name="bookmark436"/>
      <w:r>
        <w:rPr>
          <w:rFonts w:hint="eastAsia" w:ascii="宋体" w:hAnsi="宋体" w:eastAsia="宋体" w:cs="宋体"/>
          <w:sz w:val="24"/>
          <w:szCs w:val="24"/>
          <w:lang w:val="en-US" w:eastAsia="en-US"/>
        </w:rPr>
        <w:t>7.7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签订合同</w:t>
      </w:r>
      <w:bookmarkEnd w:id="420"/>
      <w:bookmarkEnd w:id="421"/>
      <w:bookmarkEnd w:id="422"/>
      <w:bookmarkEnd w:id="423"/>
      <w:bookmarkEnd w:id="424"/>
      <w:bookmarkEnd w:id="425"/>
      <w:bookmarkEnd w:id="426"/>
      <w:bookmarkEnd w:id="427"/>
      <w:bookmarkEnd w:id="428"/>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给采购人造成的损失超过响应保证金数额的，成交供应商还应当对超过部分予以赔偿</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没有提交响应保证金的，</w:t>
      </w:r>
      <w:r>
        <w:rPr>
          <w:rFonts w:hint="eastAsia" w:ascii="宋体" w:hAnsi="宋体" w:eastAsia="宋体" w:cs="宋体"/>
          <w:color w:val="000000"/>
          <w:spacing w:val="0"/>
          <w:w w:val="100"/>
          <w:position w:val="0"/>
          <w:sz w:val="24"/>
          <w:szCs w:val="24"/>
        </w:rPr>
        <w:t>成交供应商</w:t>
      </w:r>
      <w:r>
        <w:rPr>
          <w:rFonts w:hint="eastAsia" w:cs="宋体"/>
          <w:color w:val="000000"/>
          <w:spacing w:val="0"/>
          <w:w w:val="100"/>
          <w:position w:val="0"/>
          <w:sz w:val="24"/>
          <w:szCs w:val="24"/>
          <w:lang w:val="en-US" w:eastAsia="zh-CN"/>
        </w:rPr>
        <w:t>应当对采购人的损失承担赔偿责任。</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发岀成交通知书后，釆购人无正当理由拒绝签订合同，或者在签订合同时向成交供应商提出附加条件的，采购人向成交供应商退还响应保证金；给成交供应商造成损失的，还应当赔偿损失。</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联合体成交的，联合体各方应当共同与采购人签订合同，就成交项目向采购人承担连带责任。</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en-US" w:bidi="en-US"/>
        </w:rPr>
        <w:t>7.7.4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办法”第</w:t>
      </w:r>
      <w:r>
        <w:rPr>
          <w:rFonts w:hint="eastAsia" w:cs="宋体"/>
          <w:color w:val="000000"/>
          <w:spacing w:val="0"/>
          <w:w w:val="100"/>
          <w:position w:val="0"/>
          <w:sz w:val="24"/>
          <w:szCs w:val="24"/>
          <w:lang w:val="en-US" w:eastAsia="zh-CN" w:bidi="en-US"/>
        </w:rPr>
        <w:t>2.2.3</w:t>
      </w:r>
      <w:r>
        <w:rPr>
          <w:rFonts w:hint="eastAsia" w:ascii="宋体" w:hAnsi="宋体" w:eastAsia="宋体" w:cs="宋体"/>
          <w:color w:val="000000"/>
          <w:spacing w:val="0"/>
          <w:w w:val="100"/>
          <w:position w:val="0"/>
          <w:sz w:val="24"/>
          <w:szCs w:val="24"/>
        </w:rPr>
        <w:t>项规定对</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报价进行修正后，若修正后的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报价小于按照第三章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办法”第</w:t>
      </w:r>
      <w:r>
        <w:rPr>
          <w:rFonts w:hint="eastAsia" w:cs="宋体"/>
          <w:color w:val="000000"/>
          <w:spacing w:val="0"/>
          <w:w w:val="100"/>
          <w:position w:val="0"/>
          <w:sz w:val="24"/>
          <w:szCs w:val="24"/>
          <w:lang w:val="en-US" w:eastAsia="zh-CN" w:bidi="en-US"/>
        </w:rPr>
        <w:t>2.2.2</w:t>
      </w:r>
      <w:r>
        <w:rPr>
          <w:rFonts w:hint="eastAsia" w:ascii="宋体" w:hAnsi="宋体" w:eastAsia="宋体" w:cs="宋体"/>
          <w:color w:val="000000"/>
          <w:spacing w:val="0"/>
          <w:w w:val="100"/>
          <w:position w:val="0"/>
          <w:sz w:val="24"/>
          <w:szCs w:val="24"/>
        </w:rPr>
        <w:t>项规定确定的评审价格，则签订合同时以修正后的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报价为准；若修正后的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报价大于评审价格，则签订合同时以评审价格为准，同时按比例修正相应子目的单价或合价(采购文件不允许调整的费率和金额除外)。</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429" w:name="_Toc23331"/>
      <w:bookmarkStart w:id="430" w:name="bookmark439"/>
      <w:bookmarkStart w:id="431" w:name="_Toc31687"/>
      <w:bookmarkStart w:id="432" w:name="_Toc4913"/>
      <w:bookmarkStart w:id="433" w:name="bookmark440"/>
      <w:bookmarkStart w:id="434" w:name="_Toc9201"/>
      <w:bookmarkStart w:id="435" w:name="_Toc30011"/>
      <w:bookmarkStart w:id="436" w:name="bookmark441"/>
      <w:bookmarkStart w:id="437" w:name="_Toc13889"/>
      <w:r>
        <w:rPr>
          <w:rFonts w:hint="eastAsia" w:ascii="宋体" w:hAnsi="宋体" w:eastAsia="宋体" w:cs="宋体"/>
          <w:sz w:val="24"/>
          <w:szCs w:val="24"/>
          <w:lang w:val="en-US" w:eastAsia="en-US"/>
        </w:rPr>
        <w:t>7.8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特殊情形处理</w:t>
      </w:r>
      <w:bookmarkEnd w:id="429"/>
      <w:bookmarkEnd w:id="430"/>
      <w:bookmarkEnd w:id="431"/>
      <w:bookmarkEnd w:id="432"/>
      <w:bookmarkEnd w:id="433"/>
      <w:bookmarkEnd w:id="434"/>
      <w:bookmarkEnd w:id="435"/>
      <w:bookmarkEnd w:id="436"/>
      <w:bookmarkEnd w:id="437"/>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8"/>
          <w:szCs w:val="28"/>
        </w:rPr>
      </w:pPr>
      <w:bookmarkStart w:id="438" w:name="_Toc20674"/>
      <w:bookmarkStart w:id="439" w:name="_Toc3829"/>
      <w:bookmarkStart w:id="440" w:name="bookmark443"/>
      <w:bookmarkStart w:id="441" w:name="bookmark444"/>
      <w:bookmarkStart w:id="442" w:name="bookmark442"/>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异议</w:t>
      </w:r>
      <w:bookmarkEnd w:id="438"/>
      <w:bookmarkEnd w:id="439"/>
      <w:bookmarkEnd w:id="440"/>
      <w:bookmarkEnd w:id="441"/>
      <w:bookmarkEnd w:id="442"/>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443" w:name="bookmark446"/>
      <w:bookmarkStart w:id="444" w:name="bookmark447"/>
      <w:bookmarkStart w:id="445" w:name="_Toc15739"/>
      <w:bookmarkStart w:id="446" w:name="bookmark445"/>
      <w:bookmarkStart w:id="447" w:name="_Toc31121"/>
      <w:bookmarkStart w:id="448" w:name="_Toc25535"/>
      <w:bookmarkStart w:id="449" w:name="_Toc14834"/>
      <w:bookmarkStart w:id="450" w:name="_Toc13012"/>
      <w:bookmarkStart w:id="451" w:name="_Toc9812"/>
      <w:r>
        <w:rPr>
          <w:rFonts w:hint="eastAsia" w:ascii="宋体" w:hAnsi="宋体" w:eastAsia="宋体" w:cs="宋体"/>
          <w:sz w:val="24"/>
          <w:szCs w:val="24"/>
          <w:lang w:val="en-US" w:eastAsia="en-US"/>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提出异议</w:t>
      </w:r>
      <w:bookmarkEnd w:id="443"/>
      <w:bookmarkEnd w:id="444"/>
      <w:bookmarkEnd w:id="445"/>
      <w:bookmarkEnd w:id="446"/>
      <w:bookmarkEnd w:id="447"/>
      <w:bookmarkEnd w:id="448"/>
      <w:bookmarkEnd w:id="449"/>
      <w:bookmarkEnd w:id="450"/>
      <w:bookmarkEnd w:id="451"/>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452" w:name="bookmark448"/>
      <w:bookmarkEnd w:id="45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异议人名称、地址、邮政编码、联系人及联系电话；</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453" w:name="bookmark449"/>
      <w:bookmarkEnd w:id="45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具体、明确的异议事项、事实依据及与异议事项相关的请求。</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异议函应由异议人的法定代表人(单位负责人)或其授权的代理人签字并加盖单位章。</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454" w:name="_Toc10889"/>
      <w:bookmarkStart w:id="455" w:name="_Toc29007"/>
      <w:bookmarkStart w:id="456" w:name="bookmark451"/>
      <w:bookmarkStart w:id="457" w:name="_Toc7228"/>
      <w:bookmarkStart w:id="458" w:name="bookmark450"/>
      <w:bookmarkStart w:id="459" w:name="_Toc18492"/>
      <w:bookmarkStart w:id="460" w:name="_Toc12449"/>
      <w:bookmarkStart w:id="461" w:name="_Toc12956"/>
      <w:bookmarkStart w:id="462" w:name="bookmark452"/>
      <w:r>
        <w:rPr>
          <w:rFonts w:hint="eastAsia" w:ascii="宋体" w:hAnsi="宋体" w:eastAsia="宋体" w:cs="宋体"/>
          <w:sz w:val="24"/>
          <w:szCs w:val="24"/>
          <w:lang w:val="en-US" w:eastAsia="en-US"/>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异议处理</w:t>
      </w:r>
      <w:bookmarkEnd w:id="454"/>
      <w:bookmarkEnd w:id="455"/>
      <w:bookmarkEnd w:id="456"/>
      <w:bookmarkEnd w:id="457"/>
      <w:bookmarkEnd w:id="458"/>
      <w:bookmarkEnd w:id="459"/>
      <w:bookmarkEnd w:id="460"/>
      <w:bookmarkEnd w:id="461"/>
      <w:bookmarkEnd w:id="462"/>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采购人将针对异议事项进行核查，经过核查，发现异议人对相关问题理解有误的，应作出解释；发现采购活动中确实存在错误或不当行为的，应及时予以改正或补救。</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异议人与采购人对异议事项无法达成一致的，异议人可向供应商须知前附表规定的行业组织或专业咨询机构申请调解或进行反映。</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采购人认为异议不成立或不影响采购结果的，可以继续进行采购活动。</w:t>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463" w:name="bookmark453"/>
      <w:bookmarkStart w:id="464" w:name="_Toc2410"/>
      <w:bookmarkStart w:id="465" w:name="bookmark455"/>
      <w:bookmarkStart w:id="466" w:name="bookmark454"/>
      <w:bookmarkStart w:id="467" w:name="_Toc10021"/>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纪律要求</w:t>
      </w:r>
      <w:bookmarkEnd w:id="463"/>
      <w:bookmarkEnd w:id="464"/>
      <w:bookmarkEnd w:id="465"/>
      <w:bookmarkEnd w:id="466"/>
      <w:bookmarkEnd w:id="467"/>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468" w:name="bookmark456"/>
      <w:bookmarkStart w:id="469" w:name="bookmark458"/>
      <w:bookmarkStart w:id="470" w:name="_Toc19568"/>
      <w:bookmarkStart w:id="471" w:name="_Toc3172"/>
      <w:bookmarkStart w:id="472" w:name="_Toc26524"/>
      <w:bookmarkStart w:id="473" w:name="_Toc28014"/>
      <w:bookmarkStart w:id="474" w:name="_Toc348"/>
      <w:bookmarkStart w:id="475" w:name="bookmark457"/>
      <w:bookmarkStart w:id="476" w:name="_Toc3502"/>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对采购人的纪律要求</w:t>
      </w:r>
      <w:bookmarkEnd w:id="468"/>
      <w:bookmarkEnd w:id="469"/>
      <w:bookmarkEnd w:id="470"/>
      <w:bookmarkEnd w:id="471"/>
      <w:bookmarkEnd w:id="472"/>
      <w:bookmarkEnd w:id="473"/>
      <w:bookmarkEnd w:id="474"/>
      <w:bookmarkEnd w:id="475"/>
      <w:bookmarkEnd w:id="476"/>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采购人不得泄露</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釆购活动中应当保密的情况和资料，不得与供应商串通损害国家利益、社会公共利益或者他人合法权益。</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477" w:name="_Toc25014"/>
      <w:bookmarkStart w:id="478" w:name="_Toc7929"/>
      <w:bookmarkStart w:id="479" w:name="_Toc3562"/>
      <w:bookmarkStart w:id="480" w:name="bookmark461"/>
      <w:bookmarkStart w:id="481" w:name="_Toc26390"/>
      <w:bookmarkStart w:id="482" w:name="_Toc15960"/>
      <w:bookmarkStart w:id="483" w:name="bookmark460"/>
      <w:bookmarkStart w:id="484" w:name="_Toc6155"/>
      <w:bookmarkStart w:id="485" w:name="bookmark459"/>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对供应商的纪律要求</w:t>
      </w:r>
      <w:bookmarkEnd w:id="477"/>
      <w:bookmarkEnd w:id="478"/>
      <w:bookmarkEnd w:id="479"/>
      <w:bookmarkEnd w:id="480"/>
      <w:bookmarkEnd w:id="481"/>
      <w:bookmarkEnd w:id="482"/>
      <w:bookmarkEnd w:id="483"/>
      <w:bookmarkEnd w:id="484"/>
      <w:bookmarkEnd w:id="485"/>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供应商不得相互串通或者与采购人串通，不得向采购人或者</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小组成员行贿谋取成交，不得以他人名义参加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采购活动或者以其他方式弄虚作假骗取成交；供应商不得以任何方式干扰、影响评审工作。</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486" w:name="bookmark462"/>
      <w:bookmarkStart w:id="487" w:name="_Toc21752"/>
      <w:bookmarkStart w:id="488" w:name="_Toc25128"/>
      <w:bookmarkStart w:id="489" w:name="bookmark464"/>
      <w:bookmarkStart w:id="490" w:name="bookmark463"/>
      <w:bookmarkStart w:id="491" w:name="_Toc22239"/>
      <w:bookmarkStart w:id="492" w:name="_Toc26750"/>
      <w:bookmarkStart w:id="493" w:name="_Toc29537"/>
      <w:bookmarkStart w:id="494" w:name="_Toc27875"/>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评审</w:t>
      </w:r>
      <w:r>
        <w:rPr>
          <w:rFonts w:hint="eastAsia" w:ascii="宋体" w:hAnsi="宋体" w:eastAsia="宋体" w:cs="宋体"/>
          <w:sz w:val="24"/>
          <w:szCs w:val="24"/>
        </w:rPr>
        <w:t>小组成员的纪律要求</w:t>
      </w:r>
      <w:bookmarkEnd w:id="486"/>
      <w:bookmarkEnd w:id="487"/>
      <w:bookmarkEnd w:id="488"/>
      <w:bookmarkEnd w:id="489"/>
      <w:bookmarkEnd w:id="490"/>
      <w:bookmarkEnd w:id="491"/>
      <w:bookmarkEnd w:id="492"/>
      <w:bookmarkEnd w:id="493"/>
      <w:bookmarkEnd w:id="494"/>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小组成员不得收受他人的财物或者其他好处，不得向他人透露对响应文件的评审和比较、候选成交供应商的推荐情况以及评审有关的其他情况。在</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小组成员应当客观、公正地履行职责，遵守职业道德，不得擅离职守、影响谈</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工作正常进行，不得使用第三章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办法”没有规定的评审因素和标准进行评审。</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495" w:name="_Toc13045"/>
      <w:bookmarkStart w:id="496" w:name="_Toc14813"/>
      <w:bookmarkStart w:id="497" w:name="_Toc6133"/>
      <w:bookmarkStart w:id="498" w:name="bookmark467"/>
      <w:bookmarkStart w:id="499" w:name="_Toc888"/>
      <w:bookmarkStart w:id="500" w:name="_Toc12149"/>
      <w:bookmarkStart w:id="501" w:name="_Toc28384"/>
      <w:bookmarkStart w:id="502" w:name="bookmark465"/>
      <w:bookmarkStart w:id="503" w:name="bookmark466"/>
      <w:r>
        <w:rPr>
          <w:rFonts w:hint="eastAsia" w:ascii="宋体" w:hAnsi="宋体" w:eastAsia="宋体" w:cs="宋体"/>
          <w:sz w:val="24"/>
          <w:szCs w:val="24"/>
          <w:lang w:val="en-US" w:eastAsia="en-US"/>
        </w:rPr>
        <w:t>9.</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w:t>
      </w:r>
      <w:r>
        <w:rPr>
          <w:rFonts w:hint="eastAsia" w:ascii="宋体" w:hAnsi="宋体" w:eastAsia="宋体" w:cs="宋体"/>
          <w:sz w:val="24"/>
          <w:szCs w:val="24"/>
          <w:lang w:eastAsia="zh-CN"/>
        </w:rPr>
        <w:t>询比</w:t>
      </w:r>
      <w:r>
        <w:rPr>
          <w:rFonts w:hint="eastAsia" w:ascii="宋体" w:hAnsi="宋体" w:eastAsia="宋体" w:cs="宋体"/>
          <w:sz w:val="24"/>
          <w:szCs w:val="24"/>
        </w:rPr>
        <w:t>活动有关的工作人员的纪律要求</w:t>
      </w:r>
      <w:bookmarkEnd w:id="495"/>
      <w:bookmarkEnd w:id="496"/>
      <w:bookmarkEnd w:id="497"/>
      <w:bookmarkEnd w:id="498"/>
      <w:bookmarkEnd w:id="499"/>
      <w:bookmarkEnd w:id="500"/>
      <w:bookmarkEnd w:id="501"/>
      <w:bookmarkEnd w:id="502"/>
      <w:bookmarkEnd w:id="503"/>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val="en-US" w:eastAsia="zh-CN"/>
        </w:rPr>
        <w:t>询比</w:t>
      </w:r>
      <w:r>
        <w:rPr>
          <w:rFonts w:hint="eastAsia" w:ascii="宋体" w:hAnsi="宋体" w:eastAsia="宋体" w:cs="宋体"/>
          <w:color w:val="000000"/>
          <w:spacing w:val="0"/>
          <w:w w:val="100"/>
          <w:position w:val="0"/>
          <w:sz w:val="24"/>
          <w:szCs w:val="24"/>
        </w:rPr>
        <w:t>活动有关的工作人员不得收受他人的财物或者其他好处，不得向他人透露对响应文件的评审和比较、候选成交供应商的推荐情况以及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有关的其他情况。在</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活动中，与</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活动有关的工作人员不得擅离职守，影响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p>
    <w:p>
      <w:pPr>
        <w:pStyle w:val="3"/>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8"/>
          <w:szCs w:val="28"/>
        </w:rPr>
      </w:pPr>
      <w:bookmarkStart w:id="504" w:name="_Toc30219"/>
      <w:bookmarkStart w:id="505" w:name="bookmark470"/>
      <w:bookmarkStart w:id="506" w:name="_Toc6663"/>
      <w:bookmarkStart w:id="507" w:name="bookmark469"/>
      <w:bookmarkStart w:id="508" w:name="bookmark468"/>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需要补充的其他内容</w:t>
      </w:r>
      <w:bookmarkEnd w:id="504"/>
      <w:bookmarkEnd w:id="505"/>
      <w:bookmarkEnd w:id="506"/>
      <w:bookmarkEnd w:id="507"/>
      <w:bookmarkEnd w:id="508"/>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509" w:name="_Toc4421"/>
      <w:bookmarkStart w:id="510" w:name="bookmark471"/>
      <w:bookmarkStart w:id="511" w:name="_Toc7318"/>
      <w:bookmarkStart w:id="512" w:name="bookmark472"/>
      <w:bookmarkStart w:id="513" w:name="_Toc3684"/>
      <w:bookmarkStart w:id="514" w:name="_Toc20714"/>
      <w:bookmarkStart w:id="515" w:name="_Toc29647"/>
      <w:bookmarkStart w:id="516" w:name="_Toc23470"/>
      <w:bookmarkStart w:id="517" w:name="bookmark473"/>
      <w:r>
        <w:rPr>
          <w:rFonts w:hint="eastAsia" w:ascii="宋体" w:hAnsi="宋体" w:eastAsia="宋体" w:cs="宋体"/>
          <w:sz w:val="24"/>
          <w:szCs w:val="24"/>
          <w:lang w:val="en-US" w:eastAsia="en-US"/>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采购代理服务费</w:t>
      </w:r>
      <w:bookmarkEnd w:id="509"/>
      <w:bookmarkEnd w:id="510"/>
      <w:bookmarkEnd w:id="511"/>
      <w:bookmarkEnd w:id="512"/>
      <w:bookmarkEnd w:id="513"/>
      <w:bookmarkEnd w:id="514"/>
      <w:bookmarkEnd w:id="515"/>
      <w:bookmarkEnd w:id="516"/>
      <w:bookmarkEnd w:id="517"/>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供应商须知前附表规定由供应商承担采购代理服务费的，供应商应按照供应商须知前附表规定的费用标准或金额、交费时间和方式向釆购代理机构支付代理服务费。</w:t>
      </w:r>
    </w:p>
    <w:p>
      <w:pPr>
        <w:pStyle w:val="4"/>
        <w:pageBreakBefore w:val="0"/>
        <w:widowControl w:val="0"/>
        <w:kinsoku/>
        <w:wordWrap/>
        <w:overflowPunct/>
        <w:topLinePunct w:val="0"/>
        <w:autoSpaceDE/>
        <w:autoSpaceDN/>
        <w:bidi w:val="0"/>
        <w:adjustRightInd/>
        <w:snapToGrid/>
        <w:spacing w:before="0" w:beforeLines="0" w:after="0" w:afterLines="0" w:line="240" w:lineRule="auto"/>
        <w:ind w:right="0"/>
        <w:jc w:val="left"/>
        <w:textAlignment w:val="auto"/>
        <w:rPr>
          <w:rFonts w:hint="eastAsia" w:ascii="宋体" w:hAnsi="宋体" w:eastAsia="宋体" w:cs="宋体"/>
          <w:sz w:val="24"/>
          <w:szCs w:val="24"/>
        </w:rPr>
      </w:pPr>
      <w:bookmarkStart w:id="518" w:name="_Toc23072"/>
      <w:bookmarkStart w:id="519" w:name="_Toc955"/>
      <w:bookmarkStart w:id="520" w:name="_Toc2784"/>
      <w:bookmarkStart w:id="521" w:name="_Toc12318"/>
      <w:bookmarkStart w:id="522" w:name="_Toc14783"/>
      <w:bookmarkStart w:id="523" w:name="_Toc19499"/>
      <w:r>
        <w:rPr>
          <w:rFonts w:hint="eastAsia" w:ascii="宋体" w:hAnsi="宋体" w:eastAsia="宋体" w:cs="宋体"/>
          <w:sz w:val="24"/>
          <w:szCs w:val="24"/>
          <w:lang w:val="en-US" w:eastAsia="en-US"/>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其他</w:t>
      </w:r>
      <w:bookmarkEnd w:id="518"/>
      <w:bookmarkEnd w:id="519"/>
      <w:bookmarkEnd w:id="520"/>
      <w:bookmarkEnd w:id="521"/>
      <w:bookmarkEnd w:id="522"/>
      <w:bookmarkEnd w:id="523"/>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需要补充的其他内容：见供应商须知前附表。</w:t>
      </w:r>
      <w:bookmarkStart w:id="524" w:name="_Toc20803"/>
    </w:p>
    <w:p>
      <w:pPr>
        <w:rPr>
          <w:rFonts w:hint="eastAsia" w:ascii="宋体" w:hAnsi="宋体" w:eastAsia="宋体" w:cs="宋体"/>
          <w:b/>
          <w:color w:val="000000"/>
          <w:spacing w:val="0"/>
          <w:w w:val="100"/>
          <w:position w:val="0"/>
          <w:sz w:val="32"/>
          <w:szCs w:val="24"/>
          <w:u w:val="none"/>
          <w:shd w:val="clear" w:color="auto" w:fill="auto"/>
          <w:lang w:val="en-US" w:eastAsia="en-US" w:bidi="en-US"/>
        </w:rPr>
      </w:pPr>
      <w:r>
        <w:rPr>
          <w:rFonts w:hint="eastAsia" w:ascii="宋体" w:hAnsi="宋体" w:eastAsia="宋体" w:cs="宋体"/>
          <w:b/>
          <w:color w:val="000000"/>
          <w:spacing w:val="0"/>
          <w:w w:val="100"/>
          <w:position w:val="0"/>
          <w:sz w:val="32"/>
          <w:szCs w:val="24"/>
          <w:u w:val="none"/>
          <w:shd w:val="clear" w:color="auto" w:fill="auto"/>
          <w:lang w:val="en-US" w:eastAsia="en-US" w:bidi="en-US"/>
        </w:rPr>
        <w:br w:type="page"/>
      </w:r>
    </w:p>
    <w:p>
      <w:pPr>
        <w:rPr>
          <w:rFonts w:hint="eastAsia" w:ascii="宋体" w:hAnsi="宋体" w:eastAsia="宋体" w:cs="宋体"/>
          <w:b/>
          <w:color w:val="000000"/>
          <w:spacing w:val="0"/>
          <w:w w:val="100"/>
          <w:position w:val="0"/>
          <w:sz w:val="32"/>
          <w:szCs w:val="24"/>
          <w:u w:val="none"/>
          <w:shd w:val="clear" w:color="auto" w:fill="auto"/>
          <w:lang w:val="en-US" w:eastAsia="en-US" w:bidi="en-US"/>
        </w:rPr>
      </w:pPr>
      <w:r>
        <w:rPr>
          <w:rFonts w:hint="eastAsia" w:ascii="宋体" w:hAnsi="宋体" w:eastAsia="宋体" w:cs="宋体"/>
          <w:b/>
          <w:color w:val="000000"/>
          <w:spacing w:val="0"/>
          <w:w w:val="100"/>
          <w:position w:val="0"/>
          <w:sz w:val="32"/>
          <w:szCs w:val="24"/>
          <w:u w:val="none"/>
          <w:shd w:val="clear" w:color="auto" w:fill="auto"/>
          <w:lang w:val="en-US" w:eastAsia="en-US" w:bidi="en-US"/>
        </w:rPr>
        <w:t>附件1</w:t>
      </w:r>
      <w:r>
        <w:rPr>
          <w:rFonts w:hint="eastAsia" w:ascii="宋体" w:hAnsi="宋体" w:eastAsia="宋体" w:cs="宋体"/>
          <w:b/>
          <w:color w:val="000000"/>
          <w:spacing w:val="0"/>
          <w:w w:val="100"/>
          <w:position w:val="0"/>
          <w:sz w:val="32"/>
          <w:szCs w:val="24"/>
          <w:u w:val="none"/>
          <w:shd w:val="clear" w:color="auto" w:fill="auto"/>
          <w:lang w:val="en-US" w:eastAsia="zh-CN" w:bidi="en-US"/>
        </w:rPr>
        <w:t xml:space="preserve">   </w:t>
      </w:r>
      <w:r>
        <w:rPr>
          <w:rFonts w:hint="eastAsia" w:ascii="宋体" w:hAnsi="宋体" w:eastAsia="宋体" w:cs="宋体"/>
          <w:b/>
          <w:color w:val="000000"/>
          <w:spacing w:val="0"/>
          <w:w w:val="100"/>
          <w:position w:val="0"/>
          <w:sz w:val="32"/>
          <w:szCs w:val="24"/>
          <w:u w:val="none"/>
          <w:shd w:val="clear" w:color="auto" w:fill="auto"/>
          <w:lang w:val="en-US" w:eastAsia="en-US" w:bidi="en-US"/>
        </w:rPr>
        <w:t>开启记录表</w:t>
      </w:r>
      <w:bookmarkEnd w:id="524"/>
    </w:p>
    <w:p>
      <w:pPr>
        <w:rPr>
          <w:rFonts w:hint="eastAsia"/>
        </w:rPr>
      </w:pPr>
    </w:p>
    <w:p>
      <w:pPr>
        <w:bidi w:val="0"/>
        <w:jc w:val="center"/>
        <w:rPr>
          <w:rFonts w:hint="eastAsia" w:ascii="宋体" w:hAnsi="宋体" w:eastAsia="宋体" w:cs="宋体"/>
          <w:b/>
          <w:bCs/>
          <w:sz w:val="28"/>
          <w:szCs w:val="28"/>
        </w:rPr>
      </w:pPr>
      <w:bookmarkStart w:id="525" w:name="bookmark474"/>
      <w:bookmarkStart w:id="526" w:name="bookmark476"/>
      <w:bookmarkStart w:id="527" w:name="bookmark475"/>
      <w:r>
        <w:rPr>
          <w:rFonts w:hint="eastAsia" w:ascii="宋体" w:hAnsi="宋体" w:eastAsia="宋体" w:cs="宋体"/>
          <w:b/>
          <w:bCs/>
          <w:sz w:val="28"/>
          <w:szCs w:val="28"/>
        </w:rPr>
        <w:t>开启记录表</w:t>
      </w:r>
      <w:bookmarkEnd w:id="525"/>
      <w:bookmarkEnd w:id="526"/>
      <w:bookmarkEnd w:id="527"/>
    </w:p>
    <w:p>
      <w:pPr>
        <w:pStyle w:val="30"/>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开启时间：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时</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分</w:t>
      </w:r>
    </w:p>
    <w:tbl>
      <w:tblPr>
        <w:tblStyle w:val="19"/>
        <w:tblW w:w="0" w:type="auto"/>
        <w:tblInd w:w="0" w:type="dxa"/>
        <w:tblLayout w:type="fixed"/>
        <w:tblCellMar>
          <w:top w:w="0" w:type="dxa"/>
          <w:left w:w="10" w:type="dxa"/>
          <w:bottom w:w="0" w:type="dxa"/>
          <w:right w:w="10" w:type="dxa"/>
        </w:tblCellMar>
      </w:tblPr>
      <w:tblGrid>
        <w:gridCol w:w="807"/>
        <w:gridCol w:w="907"/>
        <w:gridCol w:w="1875"/>
        <w:gridCol w:w="2661"/>
        <w:gridCol w:w="1133"/>
        <w:gridCol w:w="1704"/>
      </w:tblGrid>
      <w:tr>
        <w:tblPrEx>
          <w:tblCellMar>
            <w:top w:w="0" w:type="dxa"/>
            <w:left w:w="10" w:type="dxa"/>
            <w:bottom w:w="0" w:type="dxa"/>
            <w:right w:w="10" w:type="dxa"/>
          </w:tblCellMar>
        </w:tblPrEx>
        <w:trPr>
          <w:trHeight w:val="811" w:hRule="exact"/>
        </w:trPr>
        <w:tc>
          <w:tcPr>
            <w:tcW w:w="807"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907"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供应商</w:t>
            </w:r>
          </w:p>
        </w:tc>
        <w:tc>
          <w:tcPr>
            <w:tcW w:w="1875"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lang w:eastAsia="zh-CN"/>
              </w:rPr>
            </w:pPr>
            <w:r>
              <w:rPr>
                <w:rFonts w:hint="eastAsia" w:cs="宋体"/>
                <w:color w:val="000000"/>
                <w:spacing w:val="0"/>
                <w:w w:val="100"/>
                <w:position w:val="0"/>
                <w:sz w:val="18"/>
                <w:szCs w:val="18"/>
                <w:lang w:eastAsia="zh-CN"/>
              </w:rPr>
              <w:t>响应报价</w:t>
            </w:r>
          </w:p>
        </w:tc>
        <w:tc>
          <w:tcPr>
            <w:tcW w:w="2661"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供应商代表签名</w:t>
            </w: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pStyle w:val="30"/>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30"/>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采购人代表：</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 xml:space="preserve">     </w:t>
      </w:r>
      <w:r>
        <w:rPr>
          <w:rFonts w:hint="eastAsia" w:ascii="宋体" w:hAnsi="宋体" w:eastAsia="宋体" w:cs="宋体"/>
          <w:color w:val="000000"/>
          <w:spacing w:val="0"/>
          <w:w w:val="100"/>
          <w:position w:val="0"/>
          <w:sz w:val="24"/>
          <w:szCs w:val="24"/>
        </w:rPr>
        <w:t>记录人：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pPr>
        <w:pStyle w:val="27"/>
        <w:keepNext w:val="0"/>
        <w:keepLines w:val="0"/>
        <w:pageBreakBefore w:val="0"/>
        <w:widowControl w:val="0"/>
        <w:shd w:val="clear" w:color="auto" w:fill="auto"/>
        <w:tabs>
          <w:tab w:val="left" w:pos="835"/>
          <w:tab w:val="left" w:pos="1882"/>
          <w:tab w:val="left" w:pos="2928"/>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sz w:val="20"/>
          <w:szCs w:val="20"/>
        </w:rPr>
      </w:pP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年</w:t>
      </w: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月</w:t>
      </w: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日</w:t>
      </w:r>
    </w:p>
    <w:p>
      <w:pPr>
        <w:rPr>
          <w:rFonts w:hint="eastAsia"/>
        </w:rPr>
      </w:pPr>
      <w:r>
        <w:rPr>
          <w:rFonts w:hint="eastAsia" w:ascii="宋体" w:hAnsi="宋体" w:eastAsia="宋体" w:cs="宋体"/>
          <w:color w:val="000000"/>
          <w:spacing w:val="0"/>
          <w:w w:val="100"/>
          <w:position w:val="0"/>
          <w:sz w:val="20"/>
          <w:szCs w:val="20"/>
        </w:rPr>
        <w:br w:type="page"/>
      </w:r>
    </w:p>
    <w:p>
      <w:pPr>
        <w:pStyle w:val="4"/>
        <w:bidi w:val="0"/>
        <w:outlineLvl w:val="1"/>
        <w:rPr>
          <w:rFonts w:hint="eastAsia" w:ascii="宋体" w:hAnsi="宋体" w:eastAsia="宋体" w:cs="宋体"/>
        </w:rPr>
      </w:pPr>
      <w:bookmarkStart w:id="528" w:name="_Toc13180"/>
      <w:bookmarkStart w:id="529" w:name="_Toc28284"/>
      <w:bookmarkStart w:id="530" w:name="_Toc8468"/>
      <w:bookmarkStart w:id="531" w:name="_Toc14656"/>
      <w:bookmarkStart w:id="532" w:name="_Toc21188"/>
      <w:bookmarkStart w:id="533" w:name="_Toc19017"/>
      <w:r>
        <w:rPr>
          <w:rFonts w:hint="eastAsia" w:ascii="宋体" w:hAnsi="宋体" w:eastAsia="宋体" w:cs="宋体"/>
        </w:rPr>
        <w:t>附件2</w:t>
      </w:r>
      <w:r>
        <w:rPr>
          <w:rFonts w:hint="eastAsia" w:ascii="宋体" w:hAnsi="宋体" w:eastAsia="宋体" w:cs="宋体"/>
          <w:lang w:val="en-US" w:eastAsia="zh-CN"/>
        </w:rPr>
        <w:t xml:space="preserve">   </w:t>
      </w:r>
      <w:r>
        <w:rPr>
          <w:rFonts w:hint="eastAsia" w:ascii="宋体" w:hAnsi="宋体" w:eastAsia="宋体" w:cs="宋体"/>
        </w:rPr>
        <w:t>问题澄清通知</w:t>
      </w:r>
      <w:bookmarkEnd w:id="528"/>
      <w:bookmarkEnd w:id="529"/>
      <w:bookmarkEnd w:id="530"/>
      <w:bookmarkEnd w:id="531"/>
      <w:bookmarkEnd w:id="532"/>
      <w:bookmarkEnd w:id="533"/>
    </w:p>
    <w:p>
      <w:pPr>
        <w:rPr>
          <w:rFonts w:hint="eastAsia"/>
        </w:rPr>
      </w:pPr>
    </w:p>
    <w:p>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28"/>
          <w:szCs w:val="28"/>
        </w:rPr>
      </w:pPr>
      <w:bookmarkStart w:id="534" w:name="bookmark477"/>
      <w:bookmarkStart w:id="535" w:name="bookmark478"/>
      <w:bookmarkStart w:id="536" w:name="bookmark479"/>
      <w:r>
        <w:rPr>
          <w:rFonts w:hint="eastAsia" w:ascii="宋体" w:hAnsi="宋体" w:eastAsia="宋体" w:cs="宋体"/>
          <w:b/>
          <w:bCs/>
          <w:sz w:val="28"/>
          <w:szCs w:val="28"/>
        </w:rPr>
        <w:t>问题澄清通知</w:t>
      </w:r>
      <w:bookmarkEnd w:id="534"/>
      <w:bookmarkEnd w:id="535"/>
      <w:bookmarkEnd w:id="536"/>
    </w:p>
    <w:p>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（编号：</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宋体"/>
          <w:sz w:val="24"/>
          <w:szCs w:val="24"/>
          <w:u w:val="single"/>
          <w:lang w:val="en-US" w:eastAsia="zh-CN"/>
        </w:rPr>
      </w:pPr>
      <w:r>
        <w:rPr>
          <w:rFonts w:hint="eastAsia" w:eastAsia="宋体"/>
          <w:sz w:val="24"/>
          <w:szCs w:val="24"/>
          <w:u w:val="single"/>
          <w:lang w:val="en-US" w:eastAsia="zh-CN"/>
        </w:rPr>
        <w:t xml:space="preserve">               （供货商名称）：</w:t>
      </w:r>
    </w:p>
    <w:p>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小组对你方的响应文件进行了仔细</w:t>
      </w:r>
      <w:r>
        <w:rPr>
          <w:rFonts w:hint="eastAsia" w:cs="宋体"/>
          <w:color w:val="000000"/>
          <w:spacing w:val="0"/>
          <w:w w:val="100"/>
          <w:position w:val="0"/>
          <w:sz w:val="24"/>
          <w:szCs w:val="24"/>
          <w:lang w:eastAsia="zh-CN"/>
        </w:rPr>
        <w:t>的</w:t>
      </w:r>
      <w:r>
        <w:rPr>
          <w:rFonts w:hint="eastAsia" w:ascii="宋体" w:hAnsi="宋体" w:eastAsia="宋体" w:cs="宋体"/>
          <w:color w:val="000000"/>
          <w:spacing w:val="0"/>
          <w:w w:val="100"/>
          <w:position w:val="0"/>
          <w:sz w:val="24"/>
          <w:szCs w:val="24"/>
        </w:rPr>
        <w:t>审查，现需你方对下列问题以书面形式予以澄清、说明和补正：</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w:t>
      </w:r>
    </w:p>
    <w:p>
      <w:pPr>
        <w:pStyle w:val="31"/>
        <w:keepNext w:val="0"/>
        <w:keepLines w:val="0"/>
        <w:pageBreakBefore w:val="0"/>
        <w:widowControl w:val="0"/>
        <w:shd w:val="clear" w:color="auto" w:fill="auto"/>
        <w:tabs>
          <w:tab w:val="left" w:leader="dot" w:pos="-89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pPr>
        <w:pStyle w:val="27"/>
        <w:keepNext w:val="0"/>
        <w:keepLines w:val="0"/>
        <w:pageBreakBefore w:val="0"/>
        <w:widowControl w:val="0"/>
        <w:shd w:val="clear" w:color="auto" w:fill="auto"/>
        <w:tabs>
          <w:tab w:val="left" w:pos="3730"/>
          <w:tab w:val="left" w:pos="5347"/>
          <w:tab w:val="left" w:pos="6566"/>
          <w:tab w:val="left" w:pos="7786"/>
          <w:tab w:val="left" w:pos="9000"/>
          <w:tab w:val="left" w:pos="901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sz w:val="24"/>
          <w:szCs w:val="24"/>
          <w:lang w:val="en-US"/>
        </w:rPr>
      </w:pPr>
      <w:r>
        <w:rPr>
          <w:rFonts w:hint="eastAsia" w:ascii="宋体" w:hAnsi="宋体" w:eastAsia="宋体" w:cs="宋体"/>
          <w:color w:val="000000"/>
          <w:spacing w:val="0"/>
          <w:w w:val="100"/>
          <w:position w:val="0"/>
          <w:sz w:val="24"/>
          <w:szCs w:val="24"/>
        </w:rPr>
        <w:t>请将上述问题的澄清、说明和补正于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时前递交至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（详细地址）</w:t>
      </w:r>
      <w:r>
        <w:rPr>
          <w:rFonts w:hint="eastAsia" w:ascii="宋体" w:hAnsi="宋体" w:eastAsia="宋体" w:cs="宋体"/>
          <w:color w:val="000000"/>
          <w:spacing w:val="0"/>
          <w:w w:val="100"/>
          <w:position w:val="0"/>
          <w:sz w:val="24"/>
          <w:szCs w:val="24"/>
        </w:rPr>
        <w:t>或发电子邮件至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（电子邮箱地址）</w:t>
      </w:r>
      <w:r>
        <w:rPr>
          <w:rFonts w:hint="eastAsia" w:ascii="宋体" w:hAnsi="宋体" w:eastAsia="宋体" w:cs="宋体"/>
          <w:color w:val="000000"/>
          <w:spacing w:val="0"/>
          <w:w w:val="100"/>
          <w:position w:val="0"/>
          <w:sz w:val="24"/>
          <w:szCs w:val="24"/>
        </w:rPr>
        <w:t>。采用电子邮件方式的，应在</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时前将原件递交至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（详细地址）</w:t>
      </w:r>
      <w:r>
        <w:rPr>
          <w:rFonts w:hint="eastAsia" w:cs="宋体"/>
          <w:sz w:val="24"/>
          <w:szCs w:val="24"/>
          <w:u w:val="none"/>
          <w:lang w:val="en-US" w:eastAsia="zh-CN"/>
        </w:rPr>
        <w:t>。</w:t>
      </w:r>
    </w:p>
    <w:p>
      <w:pPr>
        <w:pStyle w:val="27"/>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采购人（或采购代理机构）：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（签字或盖单位章）</w:t>
      </w:r>
    </w:p>
    <w:p>
      <w:pPr>
        <w:pStyle w:val="27"/>
        <w:keepNext w:val="0"/>
        <w:keepLines w:val="0"/>
        <w:pageBreakBefore w:val="0"/>
        <w:widowControl w:val="0"/>
        <w:shd w:val="clear" w:color="auto" w:fill="auto"/>
        <w:tabs>
          <w:tab w:val="left" w:pos="950"/>
          <w:tab w:val="left" w:pos="2150"/>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537" w:name="_Toc21997"/>
      <w:bookmarkStart w:id="538" w:name="_Toc7951"/>
      <w:bookmarkStart w:id="539" w:name="_Toc24982"/>
      <w:bookmarkStart w:id="540" w:name="_Toc14764"/>
      <w:bookmarkStart w:id="541" w:name="_Toc10739"/>
      <w:bookmarkStart w:id="542" w:name="_Toc26658"/>
      <w:r>
        <w:rPr>
          <w:rFonts w:hint="eastAsia" w:ascii="宋体" w:hAnsi="宋体" w:eastAsia="宋体" w:cs="宋体"/>
        </w:rPr>
        <w:t>附件3</w:t>
      </w:r>
      <w:r>
        <w:rPr>
          <w:rFonts w:hint="eastAsia" w:ascii="宋体" w:hAnsi="宋体" w:eastAsia="宋体" w:cs="宋体"/>
          <w:lang w:val="en-US" w:eastAsia="zh-CN"/>
        </w:rPr>
        <w:t xml:space="preserve">   </w:t>
      </w:r>
      <w:r>
        <w:rPr>
          <w:rFonts w:hint="eastAsia" w:ascii="宋体" w:hAnsi="宋体" w:eastAsia="宋体" w:cs="宋体"/>
        </w:rPr>
        <w:t>问题的澄清</w:t>
      </w:r>
      <w:bookmarkEnd w:id="537"/>
      <w:bookmarkEnd w:id="538"/>
      <w:bookmarkEnd w:id="539"/>
      <w:bookmarkEnd w:id="540"/>
      <w:bookmarkEnd w:id="541"/>
      <w:bookmarkEnd w:id="542"/>
    </w:p>
    <w:p>
      <w:pPr>
        <w:rPr>
          <w:rFonts w:hint="eastAsia"/>
        </w:rPr>
      </w:pPr>
    </w:p>
    <w:p>
      <w:pPr>
        <w:bidi w:val="0"/>
        <w:jc w:val="center"/>
        <w:rPr>
          <w:rFonts w:hint="eastAsia" w:ascii="宋体" w:hAnsi="宋体" w:eastAsia="宋体" w:cs="宋体"/>
          <w:b/>
          <w:bCs/>
          <w:sz w:val="28"/>
          <w:szCs w:val="28"/>
        </w:rPr>
      </w:pPr>
      <w:bookmarkStart w:id="543" w:name="bookmark481"/>
      <w:bookmarkStart w:id="544" w:name="bookmark482"/>
      <w:bookmarkStart w:id="545" w:name="bookmark480"/>
      <w:r>
        <w:rPr>
          <w:rFonts w:hint="eastAsia" w:ascii="宋体" w:hAnsi="宋体" w:eastAsia="宋体" w:cs="宋体"/>
          <w:b/>
          <w:bCs/>
          <w:sz w:val="28"/>
          <w:szCs w:val="28"/>
        </w:rPr>
        <w:t>问题的澄清</w:t>
      </w:r>
      <w:bookmarkEnd w:id="543"/>
      <w:bookmarkEnd w:id="544"/>
      <w:bookmarkEnd w:id="545"/>
    </w:p>
    <w:p>
      <w:pPr>
        <w:pStyle w:val="27"/>
        <w:keepNext w:val="0"/>
        <w:keepLines w:val="0"/>
        <w:pageBreakBefore w:val="0"/>
        <w:widowControl w:val="0"/>
        <w:shd w:val="clear" w:color="auto" w:fill="auto"/>
        <w:tabs>
          <w:tab w:val="left" w:pos="2357"/>
        </w:tabs>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i w:val="0"/>
          <w:iCs w:val="0"/>
          <w:color w:val="000000"/>
          <w:spacing w:val="0"/>
          <w:w w:val="100"/>
          <w:position w:val="0"/>
          <w:sz w:val="28"/>
          <w:szCs w:val="28"/>
        </w:rPr>
        <w:t>（编号:</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w:t>
      </w:r>
    </w:p>
    <w:p>
      <w:pPr>
        <w:pStyle w:val="27"/>
        <w:keepNext w:val="0"/>
        <w:keepLines w:val="0"/>
        <w:pageBreakBefore w:val="0"/>
        <w:widowControl w:val="0"/>
        <w:shd w:val="clear" w:color="auto" w:fill="auto"/>
        <w:tabs>
          <w:tab w:val="left" w:pos="408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问题澄清通知（编号：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）已收悉，现澄清、说明和补正如下:</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w:t>
      </w:r>
    </w:p>
    <w:p>
      <w:pPr>
        <w:pStyle w:val="28"/>
        <w:keepNext w:val="0"/>
        <w:keepLines w:val="0"/>
        <w:pageBreakBefore w:val="0"/>
        <w:widowControl w:val="0"/>
        <w:shd w:val="clear" w:color="auto" w:fill="auto"/>
        <w:tabs>
          <w:tab w:val="left" w:leader="dot" w:pos="-88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上述问题澄清、说明和补正，</w:t>
      </w:r>
      <w:r>
        <w:rPr>
          <w:rFonts w:hint="eastAsia" w:cs="宋体"/>
          <w:color w:val="000000"/>
          <w:spacing w:val="0"/>
          <w:w w:val="100"/>
          <w:position w:val="0"/>
          <w:sz w:val="24"/>
          <w:szCs w:val="24"/>
          <w:lang w:eastAsia="zh-CN"/>
        </w:rPr>
        <w:t>不改变我方响应文件的实质性内容，</w:t>
      </w:r>
      <w:r>
        <w:rPr>
          <w:rFonts w:hint="eastAsia" w:ascii="宋体" w:hAnsi="宋体" w:eastAsia="宋体" w:cs="宋体"/>
          <w:color w:val="000000"/>
          <w:spacing w:val="0"/>
          <w:w w:val="100"/>
          <w:position w:val="0"/>
          <w:sz w:val="24"/>
          <w:szCs w:val="24"/>
        </w:rPr>
        <w:t>构成我方响应文件的组成部分。</w:t>
      </w:r>
    </w:p>
    <w:p>
      <w:pPr>
        <w:pStyle w:val="27"/>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1920" w:firstLineChars="8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或</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7"/>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546" w:name="_Toc17119"/>
      <w:bookmarkStart w:id="547" w:name="_Toc31504"/>
      <w:bookmarkStart w:id="548" w:name="_Toc8187"/>
      <w:bookmarkStart w:id="549" w:name="_Toc25802"/>
      <w:bookmarkStart w:id="550" w:name="_Toc25536"/>
      <w:bookmarkStart w:id="551" w:name="_Toc3731"/>
      <w:r>
        <w:rPr>
          <w:rFonts w:hint="eastAsia" w:ascii="宋体" w:hAnsi="宋体" w:eastAsia="宋体" w:cs="宋体"/>
        </w:rPr>
        <w:t>附件4</w:t>
      </w:r>
      <w:r>
        <w:rPr>
          <w:rFonts w:hint="eastAsia" w:ascii="宋体" w:hAnsi="宋体" w:eastAsia="宋体" w:cs="宋体"/>
          <w:lang w:val="en-US" w:eastAsia="zh-CN"/>
        </w:rPr>
        <w:t xml:space="preserve">   </w:t>
      </w:r>
      <w:r>
        <w:rPr>
          <w:rFonts w:hint="eastAsia" w:ascii="宋体" w:hAnsi="宋体" w:eastAsia="宋体" w:cs="宋体"/>
        </w:rPr>
        <w:t>成交通知书</w:t>
      </w:r>
      <w:bookmarkEnd w:id="546"/>
      <w:bookmarkEnd w:id="547"/>
      <w:bookmarkEnd w:id="548"/>
      <w:bookmarkEnd w:id="549"/>
      <w:bookmarkEnd w:id="550"/>
      <w:bookmarkEnd w:id="55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bookmarkStart w:id="552" w:name="bookmark485"/>
      <w:bookmarkStart w:id="553" w:name="bookmark484"/>
      <w:bookmarkStart w:id="554" w:name="bookmark48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成交通知书</w:t>
      </w:r>
      <w:bookmarkEnd w:id="552"/>
      <w:bookmarkEnd w:id="553"/>
      <w:bookmarkEnd w:id="554"/>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r>
        <w:rPr>
          <w:rFonts w:hint="eastAsia" w:ascii="宋体" w:hAnsi="宋体" w:eastAsia="宋体" w:cs="宋体"/>
          <w:sz w:val="24"/>
          <w:szCs w:val="24"/>
          <w:u w:val="single"/>
          <w:lang w:val="en-US" w:eastAsia="zh-CN"/>
        </w:rPr>
        <w:t xml:space="preserve">            （成交供应商名称）</w:t>
      </w:r>
      <w:r>
        <w:rPr>
          <w:rFonts w:hint="eastAsia" w:cs="宋体"/>
          <w:sz w:val="24"/>
          <w:szCs w:val="24"/>
          <w:u w:val="single"/>
          <w:lang w:val="en-US" w:eastAsia="zh-CN"/>
        </w:rPr>
        <w:t>：</w:t>
      </w:r>
    </w:p>
    <w:p>
      <w:pPr>
        <w:pStyle w:val="27"/>
        <w:keepNext w:val="0"/>
        <w:keepLines w:val="0"/>
        <w:pageBreakBefore w:val="0"/>
        <w:widowControl w:val="0"/>
        <w:shd w:val="clear" w:color="auto" w:fill="auto"/>
        <w:tabs>
          <w:tab w:val="left" w:pos="397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你方所递交的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的响应文件已被我方接受，被确定为成交供应商。</w:t>
      </w:r>
    </w:p>
    <w:p>
      <w:pPr>
        <w:pStyle w:val="27"/>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成交价：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p>
    <w:p>
      <w:pPr>
        <w:pStyle w:val="27"/>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成交份额：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（如有）</w:t>
      </w:r>
    </w:p>
    <w:p>
      <w:pPr>
        <w:pStyle w:val="27"/>
        <w:keepNext w:val="0"/>
        <w:keepLines w:val="0"/>
        <w:pageBreakBefore w:val="0"/>
        <w:widowControl w:val="0"/>
        <w:shd w:val="clear" w:color="auto" w:fill="auto"/>
        <w:tabs>
          <w:tab w:val="left" w:pos="4334"/>
          <w:tab w:val="left" w:pos="718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请你方在接到本通知书后的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日内到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（指定地点）</w:t>
      </w:r>
      <w:r>
        <w:rPr>
          <w:rFonts w:hint="eastAsia" w:ascii="宋体" w:hAnsi="宋体" w:eastAsia="宋体" w:cs="宋体"/>
          <w:color w:val="000000"/>
          <w:spacing w:val="0"/>
          <w:w w:val="100"/>
          <w:position w:val="0"/>
          <w:sz w:val="24"/>
          <w:szCs w:val="24"/>
        </w:rPr>
        <w:t>与我方签订采购合同，并按采购文件第二章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应商须知”第</w:t>
      </w:r>
      <w:r>
        <w:rPr>
          <w:rFonts w:hint="eastAsia" w:ascii="宋体" w:hAnsi="宋体" w:eastAsia="宋体" w:cs="宋体"/>
          <w:color w:val="000000"/>
          <w:spacing w:val="0"/>
          <w:w w:val="100"/>
          <w:position w:val="0"/>
          <w:sz w:val="24"/>
          <w:szCs w:val="24"/>
          <w:lang w:val="en-US" w:eastAsia="en-US" w:bidi="en-US"/>
        </w:rPr>
        <w:t>7.</w:t>
      </w:r>
      <w:r>
        <w:rPr>
          <w:rFonts w:hint="eastAsia" w:ascii="宋体" w:hAnsi="宋体" w:eastAsia="宋体" w:cs="宋体"/>
          <w:color w:val="000000"/>
          <w:spacing w:val="0"/>
          <w:w w:val="100"/>
          <w:position w:val="0"/>
          <w:sz w:val="24"/>
          <w:szCs w:val="24"/>
        </w:rPr>
        <w:t>6款规定向我方递交履约保证金。</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特此通知。</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采购人（或釆购代理机构）：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pPr>
        <w:pStyle w:val="27"/>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rPr>
          <w:rFonts w:hint="eastAsia" w:ascii="宋体" w:hAnsi="宋体" w:eastAsia="宋体" w:cs="宋体"/>
        </w:rPr>
      </w:pPr>
      <w:bookmarkStart w:id="555" w:name="_Toc24344"/>
      <w:r>
        <w:rPr>
          <w:rFonts w:hint="eastAsia" w:ascii="宋体" w:hAnsi="宋体" w:eastAsia="宋体" w:cs="宋体"/>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556" w:name="_Toc27086"/>
      <w:bookmarkStart w:id="557" w:name="_Toc23715"/>
      <w:bookmarkStart w:id="558" w:name="_Toc18766"/>
      <w:bookmarkStart w:id="559" w:name="_Toc24077"/>
      <w:bookmarkStart w:id="560" w:name="_Toc28750"/>
      <w:r>
        <w:rPr>
          <w:rFonts w:hint="eastAsia" w:ascii="宋体" w:hAnsi="宋体" w:eastAsia="宋体" w:cs="宋体"/>
        </w:rPr>
        <w:t>附件5</w:t>
      </w:r>
      <w:r>
        <w:rPr>
          <w:rFonts w:hint="eastAsia" w:ascii="宋体" w:hAnsi="宋体" w:eastAsia="宋体" w:cs="宋体"/>
          <w:lang w:val="en-US" w:eastAsia="zh-CN"/>
        </w:rPr>
        <w:t xml:space="preserve">   </w:t>
      </w:r>
      <w:r>
        <w:rPr>
          <w:rFonts w:hint="eastAsia" w:ascii="宋体" w:hAnsi="宋体" w:eastAsia="宋体" w:cs="宋体"/>
        </w:rPr>
        <w:t>确认通知</w:t>
      </w:r>
      <w:bookmarkEnd w:id="555"/>
      <w:bookmarkEnd w:id="556"/>
      <w:bookmarkEnd w:id="557"/>
      <w:bookmarkEnd w:id="558"/>
      <w:bookmarkEnd w:id="559"/>
      <w:bookmarkEnd w:id="560"/>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8"/>
          <w:szCs w:val="28"/>
        </w:rPr>
      </w:pPr>
      <w:bookmarkStart w:id="561" w:name="_Toc30989"/>
      <w:bookmarkStart w:id="562" w:name="_Toc8027"/>
      <w:bookmarkStart w:id="563" w:name="_Toc5769"/>
      <w:bookmarkStart w:id="564" w:name="bookmark488"/>
      <w:bookmarkStart w:id="565" w:name="bookmark487"/>
      <w:bookmarkStart w:id="566" w:name="bookmark486"/>
      <w:bookmarkStart w:id="567" w:name="_Toc25852"/>
      <w:r>
        <w:rPr>
          <w:rFonts w:hint="eastAsia" w:ascii="宋体" w:hAnsi="宋体" w:eastAsia="宋体" w:cs="宋体"/>
          <w:b/>
          <w:bCs/>
          <w:sz w:val="28"/>
          <w:szCs w:val="28"/>
        </w:rPr>
        <w:t>确认通知</w:t>
      </w:r>
      <w:bookmarkEnd w:id="561"/>
      <w:bookmarkEnd w:id="562"/>
      <w:bookmarkEnd w:id="563"/>
      <w:bookmarkEnd w:id="564"/>
      <w:bookmarkEnd w:id="565"/>
      <w:bookmarkEnd w:id="566"/>
      <w:bookmarkEnd w:id="567"/>
    </w:p>
    <w:p>
      <w:pPr>
        <w:pStyle w:val="27"/>
        <w:keepNext w:val="0"/>
        <w:keepLines w:val="0"/>
        <w:pageBreakBefore w:val="0"/>
        <w:widowControl w:val="0"/>
        <w:shd w:val="clear" w:color="auto" w:fill="auto"/>
        <w:tabs>
          <w:tab w:val="left" w:leader="underscore" w:pos="2323"/>
          <w:tab w:val="left" w:pos="5453"/>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rPr>
      </w:pP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（采购人或采购代理机构名称）：</w:t>
      </w:r>
    </w:p>
    <w:p>
      <w:pPr>
        <w:pStyle w:val="27"/>
        <w:keepNext w:val="0"/>
        <w:keepLines w:val="0"/>
        <w:pageBreakBefore w:val="0"/>
        <w:widowControl w:val="0"/>
        <w:shd w:val="clear" w:color="auto" w:fill="auto"/>
        <w:tabs>
          <w:tab w:val="left" w:pos="2165"/>
          <w:tab w:val="left" w:pos="3370"/>
          <w:tab w:val="left" w:pos="4450"/>
          <w:tab w:val="left" w:pos="4565"/>
          <w:tab w:val="left" w:pos="5650"/>
          <w:tab w:val="left" w:pos="6850"/>
          <w:tab w:val="left" w:pos="69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你方于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日发岀的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采购文件的澄清/修改的通知，我方已于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日收到。</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特此确认。</w:t>
      </w:r>
    </w:p>
    <w:p>
      <w:pPr>
        <w:pStyle w:val="27"/>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pPr>
        <w:pStyle w:val="27"/>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p>
    <w:p>
      <w:pPr>
        <w:rPr>
          <w:rFonts w:hint="eastAsia" w:ascii="宋体" w:hAnsi="宋体" w:eastAsia="宋体" w:cs="宋体"/>
          <w:sz w:val="52"/>
          <w:szCs w:val="52"/>
          <w:lang w:val="en-US" w:eastAsia="zh-CN"/>
        </w:rPr>
      </w:pPr>
      <w:bookmarkStart w:id="568" w:name="_Toc16982"/>
      <w:r>
        <w:rPr>
          <w:rFonts w:hint="eastAsia" w:ascii="宋体" w:hAnsi="宋体" w:eastAsia="宋体" w:cs="宋体"/>
          <w:sz w:val="52"/>
          <w:szCs w:val="52"/>
          <w:lang w:val="en-US" w:eastAsia="zh-CN"/>
        </w:rPr>
        <w:br w:type="page"/>
      </w:r>
    </w:p>
    <w:p>
      <w:pPr>
        <w:pStyle w:val="2"/>
        <w:bidi w:val="0"/>
        <w:jc w:val="center"/>
        <w:rPr>
          <w:rFonts w:hint="eastAsia" w:ascii="宋体" w:hAnsi="宋体" w:eastAsia="宋体" w:cs="宋体"/>
          <w:color w:val="000000"/>
          <w:spacing w:val="0"/>
          <w:w w:val="100"/>
          <w:position w:val="0"/>
          <w:sz w:val="52"/>
          <w:szCs w:val="52"/>
          <w:lang w:val="en-US" w:eastAsia="zh-CN"/>
        </w:rPr>
      </w:pPr>
      <w:bookmarkStart w:id="569" w:name="_Toc13674"/>
      <w:r>
        <w:rPr>
          <w:rFonts w:hint="eastAsia" w:ascii="宋体" w:hAnsi="宋体" w:eastAsia="宋体" w:cs="宋体"/>
          <w:sz w:val="52"/>
          <w:szCs w:val="52"/>
          <w:lang w:val="en-US" w:eastAsia="zh-CN"/>
        </w:rPr>
        <w:t>第三章   评审办法</w:t>
      </w:r>
      <w:bookmarkEnd w:id="568"/>
      <w:bookmarkEnd w:id="569"/>
    </w:p>
    <w:p>
      <w:pPr>
        <w:rPr>
          <w:rFonts w:hint="eastAsia"/>
          <w:sz w:val="28"/>
          <w:szCs w:val="28"/>
        </w:rPr>
      </w:pPr>
      <w:bookmarkStart w:id="570" w:name="bookmark491"/>
      <w:bookmarkStart w:id="571" w:name="_Toc27211"/>
      <w:bookmarkStart w:id="572" w:name="bookmark490"/>
      <w:bookmarkStart w:id="573" w:name="bookmark489"/>
      <w:r>
        <w:rPr>
          <w:rFonts w:hint="eastAsia"/>
          <w:sz w:val="28"/>
          <w:szCs w:val="28"/>
        </w:rPr>
        <w:br w:type="page"/>
      </w:r>
    </w:p>
    <w:p>
      <w:pPr>
        <w:pStyle w:val="3"/>
        <w:keepNext/>
        <w:keepLines/>
        <w:pageBreakBefore w:val="0"/>
        <w:widowControl w:val="0"/>
        <w:kinsoku/>
        <w:wordWrap/>
        <w:overflowPunct/>
        <w:topLinePunct w:val="0"/>
        <w:autoSpaceDE/>
        <w:autoSpaceDN/>
        <w:bidi w:val="0"/>
        <w:adjustRightInd/>
        <w:snapToGrid/>
        <w:spacing w:after="140" w:line="413" w:lineRule="auto"/>
        <w:jc w:val="center"/>
        <w:textAlignment w:val="auto"/>
        <w:rPr>
          <w:rFonts w:hint="eastAsia"/>
          <w:sz w:val="28"/>
          <w:szCs w:val="28"/>
        </w:rPr>
      </w:pPr>
      <w:bookmarkStart w:id="574" w:name="_Toc31158"/>
      <w:r>
        <w:rPr>
          <w:rFonts w:hint="eastAsia"/>
          <w:sz w:val="28"/>
          <w:szCs w:val="28"/>
        </w:rPr>
        <w:t>评审办法前附表</w:t>
      </w:r>
      <w:bookmarkEnd w:id="570"/>
      <w:bookmarkEnd w:id="571"/>
      <w:bookmarkEnd w:id="572"/>
      <w:bookmarkEnd w:id="573"/>
      <w:bookmarkEnd w:id="57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560"/>
        <w:gridCol w:w="2200"/>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条款号及名称</w:t>
            </w: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评审因素</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1</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评审方法</w:t>
            </w: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评审方法</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FE"/>
            </w:r>
            <w:r>
              <w:rPr>
                <w:rFonts w:hint="eastAsia" w:ascii="宋体" w:hAnsi="宋体" w:eastAsia="宋体" w:cs="宋体"/>
                <w:b w:val="0"/>
                <w:bCs w:val="0"/>
                <w:sz w:val="18"/>
                <w:szCs w:val="18"/>
                <w:u w:val="none"/>
                <w:vertAlign w:val="baseline"/>
                <w:lang w:val="en-US" w:eastAsia="zh-CN"/>
              </w:rPr>
              <w:t>最低价法</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2.1.1</w:t>
            </w: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形式评审标准</w:t>
            </w: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供应商名称</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响应文件签字盖章</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符合第二章3.7.2项及3.7.3项的规定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联合体协议书</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响应函中实质性内容</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2.1.2</w:t>
            </w: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资格评审标准</w:t>
            </w: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依法设立</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资质要求</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财务要求</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业绩要求</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信誉要求</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人员要求</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其他要求</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不存在第一章第3.2款情形</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联合体供应商</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2.1.3</w:t>
            </w: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响应性评审标准</w:t>
            </w: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报价</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响应文件有效期</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响应保证金</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响应方案</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质量标准</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完成期限</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合同条款</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符合第二章第1.10.1项的规定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对非关键条款的偏差</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2.2.2</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评审价格</w:t>
            </w:r>
          </w:p>
        </w:tc>
        <w:tc>
          <w:tcPr>
            <w:tcW w:w="5576" w:type="dxa"/>
            <w:gridSpan w:val="2"/>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供应商的响应报价不得超过最高限价。本项目采用两轮报价，以供应商提交的二次报价（最终报价）作为评审价格进行排序。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条款号</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条款内容</w:t>
            </w:r>
          </w:p>
        </w:tc>
        <w:tc>
          <w:tcPr>
            <w:tcW w:w="557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3</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供应商并列时确定供应商优先顺序的规则</w:t>
            </w:r>
          </w:p>
        </w:tc>
        <w:tc>
          <w:tcPr>
            <w:tcW w:w="5576" w:type="dxa"/>
            <w:gridSpan w:val="2"/>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由评审小组投票决定</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由评审小组抽签决定</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FE"/>
            </w:r>
            <w:r>
              <w:rPr>
                <w:rFonts w:hint="eastAsia" w:ascii="宋体" w:hAnsi="宋体" w:eastAsia="宋体" w:cs="宋体"/>
                <w:b w:val="0"/>
                <w:bCs w:val="0"/>
                <w:sz w:val="18"/>
                <w:szCs w:val="18"/>
                <w:u w:val="none"/>
                <w:vertAlign w:val="baseline"/>
                <w:lang w:val="en-US" w:eastAsia="zh-CN"/>
              </w:rPr>
              <w:t>其他方法：</w:t>
            </w:r>
            <w:r>
              <w:rPr>
                <w:rFonts w:hint="eastAsia" w:ascii="宋体" w:hAnsi="宋体" w:eastAsia="宋体" w:cs="宋体"/>
                <w:b w:val="0"/>
                <w:bCs w:val="0"/>
                <w:sz w:val="18"/>
                <w:szCs w:val="18"/>
                <w:u w:val="single"/>
                <w:vertAlign w:val="baseline"/>
                <w:lang w:val="en-US" w:eastAsia="zh-CN"/>
              </w:rPr>
              <w:t xml:space="preserve"> 出现二个或二个以上供应商的报价相同时，由采购人随机抽取产生排序。</w:t>
            </w:r>
          </w:p>
        </w:tc>
      </w:tr>
    </w:tbl>
    <w:p>
      <w:pPr>
        <w:jc w:val="left"/>
        <w:rPr>
          <w:rFonts w:hint="eastAsia" w:ascii="宋体" w:hAnsi="宋体" w:eastAsia="宋体" w:cs="宋体"/>
          <w:color w:val="000000"/>
          <w:spacing w:val="0"/>
          <w:w w:val="100"/>
          <w:position w:val="0"/>
          <w:sz w:val="24"/>
          <w:szCs w:val="24"/>
        </w:rPr>
      </w:pPr>
      <w:r>
        <w:rPr>
          <w:rFonts w:hint="eastAsia" w:ascii="宋体" w:hAnsi="宋体" w:eastAsia="宋体" w:cs="宋体"/>
          <w:b w:val="0"/>
          <w:bCs w:val="0"/>
          <w:sz w:val="18"/>
          <w:szCs w:val="18"/>
          <w:u w:val="none"/>
          <w:vertAlign w:val="baseline"/>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rPr>
      </w:pPr>
      <w:bookmarkStart w:id="575" w:name="bookmark492"/>
      <w:bookmarkStart w:id="576" w:name="_Toc7222"/>
      <w:bookmarkStart w:id="577" w:name="_Toc8977"/>
      <w:bookmarkStart w:id="578" w:name="bookmark493"/>
      <w:bookmarkStart w:id="579" w:name="bookmark494"/>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评审方法（最低价法）</w:t>
      </w:r>
      <w:bookmarkEnd w:id="575"/>
      <w:bookmarkEnd w:id="576"/>
      <w:bookmarkEnd w:id="577"/>
      <w:bookmarkEnd w:id="578"/>
      <w:bookmarkEnd w:id="579"/>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本次评审采用最低价法。</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小组对满足采购文件实质性要求的响应文件，按照本章第</w:t>
      </w:r>
      <w:r>
        <w:rPr>
          <w:rFonts w:hint="eastAsia" w:cs="宋体"/>
          <w:color w:val="000000"/>
          <w:spacing w:val="0"/>
          <w:w w:val="100"/>
          <w:position w:val="0"/>
          <w:sz w:val="24"/>
          <w:szCs w:val="24"/>
          <w:lang w:val="en-US" w:eastAsia="zh-CN" w:bidi="en-US"/>
        </w:rPr>
        <w:t>2.2.2</w:t>
      </w:r>
      <w:r>
        <w:rPr>
          <w:rFonts w:hint="eastAsia" w:cs="宋体"/>
          <w:color w:val="000000"/>
          <w:spacing w:val="0"/>
          <w:w w:val="100"/>
          <w:position w:val="0"/>
          <w:sz w:val="24"/>
          <w:szCs w:val="24"/>
          <w:lang w:eastAsia="zh-CN"/>
        </w:rPr>
        <w:t>项</w:t>
      </w:r>
      <w:r>
        <w:rPr>
          <w:rFonts w:hint="eastAsia" w:ascii="宋体" w:hAnsi="宋体" w:eastAsia="宋体" w:cs="宋体"/>
          <w:color w:val="000000"/>
          <w:spacing w:val="0"/>
          <w:w w:val="100"/>
          <w:position w:val="0"/>
          <w:sz w:val="24"/>
          <w:szCs w:val="24"/>
        </w:rPr>
        <w:t>规定的方法确定供应商</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报价的评审价格，并按照评审价格由低到高的顺序推荐候选成交供应商。</w:t>
      </w: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8"/>
          <w:szCs w:val="28"/>
        </w:rPr>
      </w:pPr>
      <w:bookmarkStart w:id="580" w:name="bookmark501"/>
      <w:bookmarkStart w:id="581" w:name="bookmark502"/>
      <w:bookmarkStart w:id="582" w:name="_Toc24293"/>
      <w:bookmarkStart w:id="583" w:name="bookmark503"/>
      <w:bookmarkStart w:id="584" w:name="_Toc12284"/>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初步评审标准和程序</w:t>
      </w:r>
      <w:bookmarkEnd w:id="580"/>
      <w:bookmarkEnd w:id="581"/>
      <w:bookmarkEnd w:id="582"/>
      <w:bookmarkEnd w:id="583"/>
      <w:bookmarkEnd w:id="584"/>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4"/>
          <w:szCs w:val="24"/>
        </w:rPr>
      </w:pPr>
      <w:bookmarkStart w:id="585" w:name="bookmark505"/>
      <w:bookmarkStart w:id="586" w:name="_Toc20025"/>
      <w:bookmarkStart w:id="587" w:name="bookmark504"/>
      <w:bookmarkStart w:id="588" w:name="_Toc16427"/>
      <w:bookmarkStart w:id="589" w:name="_Toc10182"/>
      <w:bookmarkStart w:id="590" w:name="bookmark506"/>
      <w:bookmarkStart w:id="591" w:name="_Toc21716"/>
      <w:bookmarkStart w:id="592" w:name="_Toc26251"/>
      <w:bookmarkStart w:id="593" w:name="_Toc22406"/>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初步评审标准</w:t>
      </w:r>
      <w:bookmarkEnd w:id="585"/>
      <w:bookmarkEnd w:id="586"/>
      <w:bookmarkEnd w:id="587"/>
      <w:bookmarkEnd w:id="588"/>
      <w:bookmarkEnd w:id="589"/>
      <w:bookmarkEnd w:id="590"/>
      <w:bookmarkEnd w:id="591"/>
      <w:bookmarkEnd w:id="592"/>
      <w:bookmarkEnd w:id="593"/>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形式评审标准：见评审办法前附表。</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资格评审标准：见评审办法前附表。</w:t>
      </w:r>
    </w:p>
    <w:p>
      <w:pPr>
        <w:pStyle w:val="27"/>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240" w:lineRule="auto"/>
        <w:ind w:right="0" w:rightChars="0"/>
        <w:jc w:val="left"/>
        <w:textAlignment w:val="auto"/>
        <w:outlineLvl w:val="9"/>
        <w:rPr>
          <w:rFonts w:hint="eastAsia" w:ascii="宋体" w:hAnsi="宋体" w:eastAsia="宋体" w:cs="宋体"/>
          <w:sz w:val="24"/>
          <w:szCs w:val="24"/>
        </w:rPr>
      </w:pPr>
      <w:bookmarkStart w:id="594" w:name="bookmark507"/>
      <w:bookmarkEnd w:id="594"/>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响应性评审标准：见评审办法前附表。</w:t>
      </w:r>
    </w:p>
    <w:p>
      <w:pPr>
        <w:pStyle w:val="4"/>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4"/>
          <w:szCs w:val="24"/>
        </w:rPr>
      </w:pPr>
      <w:bookmarkStart w:id="595" w:name="bookmark510"/>
      <w:bookmarkStart w:id="596" w:name="bookmark509"/>
      <w:bookmarkStart w:id="597" w:name="_Toc83"/>
      <w:bookmarkStart w:id="598" w:name="_Toc555"/>
      <w:bookmarkStart w:id="599" w:name="_Toc29009"/>
      <w:bookmarkStart w:id="600" w:name="_Toc11665"/>
      <w:bookmarkStart w:id="601" w:name="_Toc29766"/>
      <w:bookmarkStart w:id="602" w:name="bookmark508"/>
      <w:bookmarkStart w:id="603" w:name="_Toc23979"/>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初步评审程序</w:t>
      </w:r>
      <w:bookmarkEnd w:id="595"/>
      <w:bookmarkEnd w:id="596"/>
      <w:bookmarkEnd w:id="597"/>
      <w:bookmarkEnd w:id="598"/>
      <w:bookmarkEnd w:id="599"/>
      <w:bookmarkEnd w:id="600"/>
      <w:bookmarkEnd w:id="601"/>
      <w:bookmarkEnd w:id="602"/>
      <w:bookmarkEnd w:id="603"/>
    </w:p>
    <w:p>
      <w:pPr>
        <w:pStyle w:val="27"/>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240" w:lineRule="auto"/>
        <w:ind w:right="0" w:rightChars="0"/>
        <w:jc w:val="left"/>
        <w:textAlignment w:val="auto"/>
        <w:outlineLvl w:val="9"/>
        <w:rPr>
          <w:rFonts w:hint="eastAsia" w:ascii="宋体" w:hAnsi="宋体" w:eastAsia="宋体" w:cs="宋体"/>
          <w:sz w:val="24"/>
          <w:szCs w:val="24"/>
        </w:rPr>
      </w:pPr>
      <w:bookmarkStart w:id="604" w:name="bookmark511"/>
      <w:bookmarkEnd w:id="604"/>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outlineLvl w:val="9"/>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2.2.2</w:t>
      </w:r>
      <w:r>
        <w:rPr>
          <w:rFonts w:hint="eastAsia" w:cs="宋体"/>
          <w:color w:val="000000"/>
          <w:spacing w:val="0"/>
          <w:w w:val="100"/>
          <w:position w:val="0"/>
          <w:sz w:val="24"/>
          <w:szCs w:val="24"/>
          <w:lang w:val="en-US" w:eastAsia="zh-CN" w:bidi="en-US"/>
        </w:rPr>
        <w:t xml:space="preserve"> 除</w:t>
      </w:r>
      <w:r>
        <w:rPr>
          <w:rFonts w:hint="eastAsia" w:cs="宋体"/>
          <w:color w:val="000000"/>
          <w:spacing w:val="0"/>
          <w:w w:val="100"/>
          <w:position w:val="0"/>
          <w:sz w:val="24"/>
          <w:szCs w:val="24"/>
          <w:lang w:eastAsia="zh-CN"/>
        </w:rPr>
        <w:t>评审办法前附表另有规定外，评审价格为供应商在响应函中填报的大写含税价格。</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评审价格若超过最高限价（如有），其响应文件将被视为无效。</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小组经过对供应商的报价进行比较或基于专业经验认为某一供应商的报价</w:t>
      </w:r>
      <w:r>
        <w:rPr>
          <w:rFonts w:hint="eastAsia" w:cs="宋体"/>
          <w:color w:val="000000"/>
          <w:spacing w:val="0"/>
          <w:w w:val="100"/>
          <w:position w:val="0"/>
          <w:sz w:val="24"/>
          <w:szCs w:val="24"/>
          <w:lang w:eastAsia="zh-CN"/>
        </w:rPr>
        <w:t>异常</w:t>
      </w:r>
      <w:r>
        <w:rPr>
          <w:rFonts w:hint="eastAsia" w:ascii="宋体" w:hAnsi="宋体" w:eastAsia="宋体" w:cs="宋体"/>
          <w:color w:val="000000"/>
          <w:spacing w:val="0"/>
          <w:w w:val="100"/>
          <w:position w:val="0"/>
          <w:sz w:val="24"/>
          <w:szCs w:val="24"/>
        </w:rPr>
        <w:t>过低，可能对其履约造成影响时，应当要求该供应商作岀书面说明并提供相应的证明材料。供应商不能合理说明或者不能提供相应证明材料的，其响应文件将被视为无效。</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bookmarkStart w:id="605" w:name="bookmark512"/>
      <w:bookmarkEnd w:id="605"/>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bookmarkStart w:id="606" w:name="bookmark1167"/>
      <w:bookmarkEnd w:id="606"/>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报价有算术错误或其他错误的，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小组按以下原则</w:t>
      </w:r>
      <w:r>
        <w:rPr>
          <w:rFonts w:hint="eastAsia" w:cs="宋体"/>
          <w:color w:val="000000"/>
          <w:spacing w:val="0"/>
          <w:w w:val="100"/>
          <w:position w:val="0"/>
          <w:sz w:val="24"/>
          <w:szCs w:val="24"/>
          <w:lang w:eastAsia="zh-CN"/>
        </w:rPr>
        <w:t>要求供应商对响应报价</w:t>
      </w:r>
      <w:r>
        <w:rPr>
          <w:rFonts w:hint="eastAsia" w:ascii="宋体" w:hAnsi="宋体" w:eastAsia="宋体" w:cs="宋体"/>
          <w:color w:val="000000"/>
          <w:spacing w:val="0"/>
          <w:w w:val="100"/>
          <w:position w:val="0"/>
          <w:sz w:val="24"/>
          <w:szCs w:val="24"/>
        </w:rPr>
        <w:t>进行修正，并要求供应商书面澄清确认。供应商拒不澄清确认的，其响应文件将被视为无效：</w:t>
      </w:r>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大写金额与小写金额不一致的，以大写金额为准；</w:t>
      </w:r>
    </w:p>
    <w:p>
      <w:pPr>
        <w:pStyle w:val="27"/>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总价金额与单价金额不一致的，以单价金额为准，但单价金额小数点有明显错误的除外；</w:t>
      </w:r>
    </w:p>
    <w:p>
      <w:pPr>
        <w:pStyle w:val="2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报价表中合计报价与分项报价的合价不一致的，以各分项报价的合价累计数为准；</w:t>
      </w:r>
    </w:p>
    <w:p>
      <w:pPr>
        <w:pStyle w:val="27"/>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如果分项报价中存在缺漏项，且缺漏项内容不属于实质性偏差的，则视为缺漏项内容的价格已包含在其他分项报价之中。</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firstLineChars="300"/>
        <w:jc w:val="left"/>
        <w:textAlignment w:val="auto"/>
        <w:outlineLvl w:val="9"/>
        <w:rPr>
          <w:rFonts w:hint="eastAsia" w:cs="宋体"/>
          <w:color w:val="000000"/>
          <w:spacing w:val="0"/>
          <w:w w:val="100"/>
          <w:position w:val="0"/>
          <w:sz w:val="24"/>
          <w:szCs w:val="24"/>
          <w:highlight w:val="none"/>
          <w:lang w:eastAsia="zh-CN"/>
        </w:rPr>
      </w:pPr>
      <w:r>
        <w:rPr>
          <w:rFonts w:hint="eastAsia" w:cs="宋体"/>
          <w:color w:val="000000"/>
          <w:spacing w:val="0"/>
          <w:w w:val="100"/>
          <w:position w:val="0"/>
          <w:sz w:val="24"/>
          <w:szCs w:val="24"/>
          <w:highlight w:val="none"/>
          <w:lang w:eastAsia="zh-CN"/>
        </w:rPr>
        <w:t>按照本办法规定进行补正后的响应文件经供应商确认后产生约束力。</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供应商有串通、弄虚作假、行贿等违法行为的，其响应文件将被视为无效</w:t>
      </w:r>
      <w:r>
        <w:rPr>
          <w:rFonts w:hint="eastAsia" w:ascii="宋体" w:hAnsi="宋体" w:eastAsia="宋体" w:cs="宋体"/>
          <w:color w:val="000000"/>
          <w:spacing w:val="0"/>
          <w:w w:val="100"/>
          <w:position w:val="0"/>
          <w:sz w:val="24"/>
          <w:szCs w:val="24"/>
          <w:lang w:val="en-US" w:eastAsia="zh-CN"/>
        </w:rPr>
        <w:t>，并没收其响应保证金</w:t>
      </w:r>
      <w:r>
        <w:rPr>
          <w:rFonts w:hint="eastAsia" w:ascii="宋体" w:hAnsi="宋体" w:eastAsia="宋体" w:cs="宋体"/>
          <w:color w:val="000000"/>
          <w:spacing w:val="0"/>
          <w:w w:val="100"/>
          <w:position w:val="0"/>
          <w:sz w:val="24"/>
          <w:szCs w:val="24"/>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2.2.5</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特殊情形处理</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选择直接转换采购方式采购的，评审小组按照本章第5条</w:t>
      </w:r>
      <w:r>
        <w:rPr>
          <w:rFonts w:hint="eastAsia" w:ascii="宋体" w:hAnsi="宋体" w:eastAsia="宋体" w:cs="宋体"/>
          <w:color w:val="000000"/>
          <w:spacing w:val="0"/>
          <w:w w:val="100"/>
          <w:position w:val="0"/>
          <w:sz w:val="24"/>
          <w:szCs w:val="24"/>
          <w:lang w:val="zh-CN" w:eastAsia="zh-CN" w:bidi="zh-CN"/>
        </w:rPr>
        <w:t>“直</w:t>
      </w:r>
      <w:r>
        <w:rPr>
          <w:rFonts w:hint="eastAsia" w:ascii="宋体" w:hAnsi="宋体" w:eastAsia="宋体" w:cs="宋体"/>
          <w:color w:val="000000"/>
          <w:spacing w:val="0"/>
          <w:w w:val="100"/>
          <w:position w:val="0"/>
          <w:sz w:val="24"/>
          <w:szCs w:val="24"/>
        </w:rPr>
        <w:t>接转换采购方式评审程序”重新评审。除了采购人与供应商双方提出修改补充并接受新的条件和要求外,原采购文件与原响应文件对采购人和供应商仍然具有相应约束力。</w:t>
      </w:r>
    </w:p>
    <w:p>
      <w:pPr>
        <w:pStyle w:val="3"/>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8"/>
          <w:szCs w:val="28"/>
          <w:lang w:eastAsia="zh-CN"/>
        </w:rPr>
      </w:pPr>
      <w:bookmarkStart w:id="607" w:name="bookmark513"/>
      <w:bookmarkStart w:id="608" w:name="_Toc12111"/>
      <w:bookmarkStart w:id="609" w:name="bookmark514"/>
      <w:bookmarkStart w:id="610" w:name="bookmark515"/>
      <w:bookmarkStart w:id="611" w:name="_Toc29328"/>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详细评审标准和程序</w:t>
      </w:r>
      <w:bookmarkEnd w:id="607"/>
      <w:bookmarkEnd w:id="608"/>
      <w:bookmarkEnd w:id="609"/>
      <w:bookmarkEnd w:id="610"/>
      <w:r>
        <w:rPr>
          <w:rFonts w:hint="eastAsia" w:ascii="宋体" w:hAnsi="宋体" w:eastAsia="宋体" w:cs="宋体"/>
          <w:sz w:val="28"/>
          <w:szCs w:val="28"/>
          <w:lang w:eastAsia="zh-CN"/>
        </w:rPr>
        <w:t>（最低价法）</w:t>
      </w:r>
      <w:bookmarkEnd w:id="611"/>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outlineLvl w:val="9"/>
        <w:rPr>
          <w:rFonts w:hint="eastAsia" w:ascii="宋体" w:hAnsi="宋体" w:eastAsia="宋体" w:cs="宋体"/>
          <w:color w:val="000000"/>
          <w:spacing w:val="0"/>
          <w:w w:val="100"/>
          <w:position w:val="0"/>
          <w:sz w:val="24"/>
          <w:szCs w:val="24"/>
        </w:rPr>
      </w:pPr>
      <w:bookmarkStart w:id="612" w:name="_Toc26159"/>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进行比较后，按照</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由低到高的顺序对供应商排序。供应商</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相等时，按照评审办法前附表的规定确定供应商优先顺序。</w:t>
      </w:r>
    </w:p>
    <w:p>
      <w:pPr>
        <w:pStyle w:val="3"/>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8"/>
          <w:szCs w:val="28"/>
        </w:rPr>
      </w:pPr>
      <w:bookmarkStart w:id="613" w:name="_Toc5125"/>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评审结果</w:t>
      </w:r>
      <w:bookmarkEnd w:id="612"/>
      <w:bookmarkEnd w:id="613"/>
    </w:p>
    <w:p>
      <w:pPr>
        <w:pStyle w:val="4"/>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4"/>
          <w:szCs w:val="24"/>
        </w:rPr>
      </w:pPr>
      <w:bookmarkStart w:id="614" w:name="_Toc15108"/>
      <w:bookmarkStart w:id="615" w:name="_Toc19808"/>
      <w:bookmarkStart w:id="616" w:name="_Toc29741"/>
      <w:bookmarkStart w:id="617" w:name="_Toc15314"/>
      <w:bookmarkStart w:id="618" w:name="_Toc1456"/>
      <w:bookmarkStart w:id="619" w:name="_Toc25197"/>
      <w:r>
        <w:rPr>
          <w:rFonts w:hint="eastAsia" w:ascii="宋体" w:hAnsi="宋体" w:eastAsia="宋体" w:cs="宋体"/>
          <w:sz w:val="24"/>
          <w:szCs w:val="24"/>
          <w:lang w:val="en-US" w:eastAsia="en-US"/>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提交书面评审报告</w:t>
      </w:r>
      <w:bookmarkEnd w:id="614"/>
      <w:bookmarkEnd w:id="615"/>
      <w:bookmarkEnd w:id="616"/>
      <w:bookmarkEnd w:id="617"/>
      <w:bookmarkEnd w:id="618"/>
      <w:bookmarkEnd w:id="619"/>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小组完成评审后，应当向采购人递交书面评审报告。</w:t>
      </w:r>
    </w:p>
    <w:p>
      <w:pPr>
        <w:pStyle w:val="4"/>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4"/>
          <w:szCs w:val="24"/>
        </w:rPr>
      </w:pPr>
      <w:bookmarkStart w:id="620" w:name="_Toc22950"/>
      <w:bookmarkStart w:id="621" w:name="_Toc14728"/>
      <w:bookmarkStart w:id="622" w:name="_Toc15457"/>
      <w:bookmarkStart w:id="623" w:name="_Toc15419"/>
      <w:bookmarkStart w:id="624" w:name="_Toc32464"/>
      <w:bookmarkStart w:id="625" w:name="_Toc28784"/>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推荐候选成交供应商排序要求及数量</w:t>
      </w:r>
      <w:bookmarkEnd w:id="620"/>
      <w:bookmarkEnd w:id="621"/>
      <w:bookmarkEnd w:id="622"/>
      <w:bookmarkEnd w:id="623"/>
      <w:bookmarkEnd w:id="624"/>
      <w:bookmarkEnd w:id="625"/>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小组应在书面评审报告中按照供应商排列的优先顺序向釆购人推荐候选成交供应商(排序或不排序)。候选成交供应商的排序要求及数量见第二章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应商须知”。</w:t>
      </w:r>
      <w:bookmarkStart w:id="626" w:name="bookmark538"/>
      <w:bookmarkStart w:id="627" w:name="bookmark539"/>
      <w:bookmarkStart w:id="628" w:name="bookmark540"/>
    </w:p>
    <w:p>
      <w:pPr>
        <w:pStyle w:val="3"/>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8"/>
          <w:szCs w:val="28"/>
        </w:rPr>
      </w:pPr>
      <w:bookmarkStart w:id="629" w:name="_Toc29447"/>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直接转换采购方式评审程序</w:t>
      </w:r>
      <w:bookmarkEnd w:id="629"/>
    </w:p>
    <w:p>
      <w:pPr>
        <w:pStyle w:val="4"/>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4"/>
          <w:szCs w:val="24"/>
        </w:rPr>
      </w:pPr>
      <w:bookmarkStart w:id="630" w:name="_Toc23384"/>
      <w:bookmarkStart w:id="631" w:name="_Toc22958"/>
      <w:bookmarkStart w:id="632" w:name="_Toc553"/>
      <w:bookmarkStart w:id="633" w:name="_Toc15147"/>
      <w:bookmarkStart w:id="634" w:name="_Toc17781"/>
      <w:r>
        <w:rPr>
          <w:rFonts w:hint="eastAsia" w:ascii="宋体" w:hAnsi="宋体" w:eastAsia="宋体" w:cs="宋体"/>
          <w:sz w:val="24"/>
          <w:szCs w:val="24"/>
          <w:lang w:val="en-US" w:eastAsia="en-US"/>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w:t>
      </w:r>
      <w:bookmarkEnd w:id="630"/>
      <w:bookmarkEnd w:id="631"/>
      <w:bookmarkEnd w:id="632"/>
      <w:bookmarkEnd w:id="633"/>
      <w:bookmarkEnd w:id="634"/>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评审小组依据本章第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w:t>
      </w:r>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只有形式评审和资格评审合格且实质性响应釆购文件要求的供应商才可通过初步评审。经供应商澄清、说明和补正后仍未通过初步评审的响应文件将被视为无效,评审小组应告知有关供应商。</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当通过初步评审的供应商数量大于询比釆购公告/询比采购邀请书第</w:t>
      </w:r>
      <w:r>
        <w:rPr>
          <w:rFonts w:hint="eastAsia" w:ascii="宋体" w:hAnsi="宋体" w:eastAsia="宋体" w:cs="宋体"/>
          <w:color w:val="000000"/>
          <w:spacing w:val="0"/>
          <w:w w:val="100"/>
          <w:position w:val="0"/>
          <w:sz w:val="24"/>
          <w:szCs w:val="24"/>
          <w:lang w:val="en-US" w:eastAsia="en-US" w:bidi="en-US"/>
        </w:rPr>
        <w:t>1.6</w:t>
      </w:r>
      <w:r>
        <w:rPr>
          <w:rFonts w:hint="eastAsia" w:ascii="宋体" w:hAnsi="宋体" w:eastAsia="宋体" w:cs="宋体"/>
          <w:color w:val="000000"/>
          <w:spacing w:val="0"/>
          <w:w w:val="100"/>
          <w:position w:val="0"/>
          <w:sz w:val="24"/>
          <w:szCs w:val="24"/>
        </w:rPr>
        <w:t>款规定的成交供应商数量时，可以改为参照谈判方式继续评审选择成交供应商。</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当通过初步评审的供应商数量等于询比采购公告/询比采购邀请书第</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6款规定的成交供应商数量时，可以改为参照直接釆购方式继续评审选择成交供应商。</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当询比采购公告/询比采购邀请书第</w:t>
      </w:r>
      <w:r>
        <w:rPr>
          <w:rFonts w:hint="eastAsia" w:ascii="宋体" w:hAnsi="宋体" w:eastAsia="宋体" w:cs="宋体"/>
          <w:color w:val="000000"/>
          <w:spacing w:val="0"/>
          <w:w w:val="100"/>
          <w:position w:val="0"/>
          <w:sz w:val="24"/>
          <w:szCs w:val="24"/>
          <w:lang w:val="en-US" w:eastAsia="en-US" w:bidi="en-US"/>
        </w:rPr>
        <w:t>1.6</w:t>
      </w:r>
      <w:r>
        <w:rPr>
          <w:rFonts w:hint="eastAsia" w:ascii="宋体" w:hAnsi="宋体" w:eastAsia="宋体" w:cs="宋体"/>
          <w:color w:val="000000"/>
          <w:spacing w:val="0"/>
          <w:w w:val="100"/>
          <w:position w:val="0"/>
          <w:sz w:val="24"/>
          <w:szCs w:val="24"/>
        </w:rPr>
        <w:t>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初步评审后，当所有响应文件均无效时，应重新组织采购。</w:t>
      </w:r>
    </w:p>
    <w:p>
      <w:pPr>
        <w:pStyle w:val="4"/>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宋体" w:hAnsi="宋体" w:eastAsia="宋体" w:cs="宋体"/>
          <w:sz w:val="24"/>
          <w:szCs w:val="24"/>
        </w:rPr>
      </w:pPr>
      <w:bookmarkStart w:id="635" w:name="_Toc15747"/>
      <w:bookmarkStart w:id="636" w:name="_Toc29732"/>
      <w:bookmarkStart w:id="637" w:name="_Toc24428"/>
      <w:bookmarkStart w:id="638" w:name="_Toc28522"/>
      <w:bookmarkStart w:id="639" w:name="_Toc18781"/>
      <w:r>
        <w:rPr>
          <w:rFonts w:hint="eastAsia" w:ascii="宋体" w:hAnsi="宋体" w:eastAsia="宋体" w:cs="宋体"/>
          <w:sz w:val="24"/>
          <w:szCs w:val="24"/>
          <w:lang w:val="en-US" w:eastAsia="en-US"/>
        </w:rPr>
        <w:t>5.2</w:t>
      </w:r>
      <w:r>
        <w:rPr>
          <w:rFonts w:hint="eastAsia" w:ascii="宋体" w:hAnsi="宋体" w:eastAsia="宋体" w:cs="宋体"/>
          <w:sz w:val="24"/>
          <w:szCs w:val="24"/>
        </w:rPr>
        <w:t>转换采购方式</w:t>
      </w:r>
      <w:bookmarkEnd w:id="635"/>
      <w:bookmarkEnd w:id="636"/>
      <w:bookmarkEnd w:id="637"/>
      <w:bookmarkEnd w:id="638"/>
      <w:bookmarkEnd w:id="639"/>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参照谈判采购方式评审</w:t>
      </w:r>
    </w:p>
    <w:p>
      <w:pPr>
        <w:pStyle w:val="2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谈判。</w:t>
      </w:r>
    </w:p>
    <w:p>
      <w:pPr>
        <w:pStyle w:val="27"/>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 xml:space="preserve">1） </w:t>
      </w:r>
      <w:r>
        <w:rPr>
          <w:rFonts w:hint="eastAsia" w:cs="宋体"/>
          <w:color w:val="000000"/>
          <w:spacing w:val="0"/>
          <w:w w:val="100"/>
          <w:position w:val="0"/>
          <w:sz w:val="24"/>
          <w:szCs w:val="24"/>
          <w:lang w:eastAsia="zh-CN"/>
        </w:rPr>
        <w:t>评</w:t>
      </w:r>
      <w:r>
        <w:rPr>
          <w:rFonts w:hint="eastAsia" w:ascii="宋体" w:hAnsi="宋体" w:eastAsia="宋体" w:cs="宋体"/>
          <w:color w:val="000000"/>
          <w:spacing w:val="0"/>
          <w:w w:val="100"/>
          <w:position w:val="0"/>
          <w:sz w:val="24"/>
          <w:szCs w:val="24"/>
        </w:rPr>
        <w:t>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pStyle w:val="27"/>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 xml:space="preserve">2） </w:t>
      </w:r>
      <w:r>
        <w:rPr>
          <w:rFonts w:hint="eastAsia" w:ascii="宋体" w:hAnsi="宋体" w:eastAsia="宋体" w:cs="宋体"/>
          <w:color w:val="000000"/>
          <w:spacing w:val="0"/>
          <w:w w:val="100"/>
          <w:position w:val="0"/>
          <w:sz w:val="24"/>
          <w:szCs w:val="24"/>
        </w:rPr>
        <w:t>供应商的法定代表人（单位负责人）或其授权的代理人应参加谈判。供应商的法定代表人（单位负责人）或其授权的代理人在谈判中作出的承诺构成响应文件的组成部分。</w:t>
      </w:r>
    </w:p>
    <w:p>
      <w:pPr>
        <w:pStyle w:val="27"/>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 xml:space="preserve">3） </w:t>
      </w:r>
      <w:r>
        <w:rPr>
          <w:rFonts w:hint="eastAsia" w:ascii="宋体" w:hAnsi="宋体" w:eastAsia="宋体" w:cs="宋体"/>
          <w:color w:val="000000"/>
          <w:spacing w:val="0"/>
          <w:w w:val="100"/>
          <w:position w:val="0"/>
          <w:sz w:val="24"/>
          <w:szCs w:val="24"/>
        </w:rPr>
        <w:t>谈判结束后，评审小组将要求所有参加谈判的供应商在规定时间内递交最终报价。最终报价应由供应商的法定代表人（单位负责人）或其授权的代理人签字或加盖单位章。最终报价是供应商响应文件的组成部分。</w:t>
      </w:r>
      <w:bookmarkStart w:id="640" w:name="bookmark1185"/>
      <w:bookmarkEnd w:id="640"/>
    </w:p>
    <w:p>
      <w:pPr>
        <w:pStyle w:val="27"/>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公开开启最终报价。</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评审小组将在递交最终报价的截止时间公开开启最终报价，供应商未派代表参加开启会议的，视为默认开启结果。</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641" w:name="bookmark1186"/>
      <w:bookmarkEnd w:id="64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详细评审。</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评审小组将按本章第3条规定对响应文件及其最终报价进行详细评审。采用综合评分法的，评审小组有权对本章第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2项规定的评审基准价和第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3(3)目规定的报价评分标准进行调整，但评审小组应在谈判开始前向供应商公布，未公布的，视为评审基准价和报价评分标准不作调整；详细评审标准中除报价评审标准外的其他评审标准不作调整。</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通过谈判后，评审小组认为所有供应商的最终报价仍然不合理的，应向釆购人提出终止采购建议。</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642" w:name="bookmark1187"/>
      <w:bookmarkEnd w:id="64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编写评审报告。</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评审小组按本章第</w:t>
      </w:r>
      <w:r>
        <w:rPr>
          <w:rFonts w:hint="eastAsia" w:ascii="宋体" w:hAnsi="宋体" w:eastAsia="宋体" w:cs="宋体"/>
          <w:color w:val="000000"/>
          <w:spacing w:val="0"/>
          <w:w w:val="100"/>
          <w:position w:val="0"/>
          <w:sz w:val="24"/>
          <w:szCs w:val="24"/>
          <w:lang w:val="en-US" w:eastAsia="en-US" w:bidi="en-US"/>
        </w:rPr>
        <w:t>4.</w:t>
      </w:r>
      <w:r>
        <w:rPr>
          <w:rFonts w:hint="eastAsia" w:ascii="宋体" w:hAnsi="宋体" w:eastAsia="宋体" w:cs="宋体"/>
          <w:color w:val="000000"/>
          <w:spacing w:val="0"/>
          <w:w w:val="100"/>
          <w:position w:val="0"/>
          <w:sz w:val="24"/>
          <w:szCs w:val="24"/>
        </w:rPr>
        <w:t>2款规定推荐候选成交供应商或按本章第</w:t>
      </w:r>
      <w:r>
        <w:rPr>
          <w:rFonts w:hint="eastAsia" w:ascii="宋体" w:hAnsi="宋体" w:eastAsia="宋体" w:cs="宋体"/>
          <w:color w:val="000000"/>
          <w:spacing w:val="0"/>
          <w:w w:val="100"/>
          <w:position w:val="0"/>
          <w:sz w:val="24"/>
          <w:szCs w:val="24"/>
          <w:lang w:val="en-US" w:eastAsia="en-US" w:bidi="en-US"/>
        </w:rPr>
        <w:t>5.2.1</w:t>
      </w:r>
      <w:r>
        <w:rPr>
          <w:rFonts w:hint="eastAsia" w:ascii="宋体" w:hAnsi="宋体" w:eastAsia="宋体" w:cs="宋体"/>
          <w:color w:val="000000"/>
          <w:spacing w:val="0"/>
          <w:w w:val="100"/>
          <w:position w:val="0"/>
          <w:sz w:val="24"/>
          <w:szCs w:val="24"/>
        </w:rPr>
        <w:t>(3)规定提出终止采购建议，并向采购人提交书面评审报告。</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参照直接采购方式评审</w:t>
      </w:r>
    </w:p>
    <w:p>
      <w:pPr>
        <w:pStyle w:val="27"/>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643" w:name="bookmark1188"/>
      <w:bookmarkEnd w:id="64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谈判。</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所有成员集中与供应商进行谈判，供应商的法定代表人(单位负责人)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构成响应文件的组成部分。评审小组可根据需要，安排多轮谈判。</w:t>
      </w:r>
    </w:p>
    <w:p>
      <w:pPr>
        <w:pStyle w:val="27"/>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644" w:name="bookmark1189"/>
      <w:bookmarkEnd w:id="64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详细评审。</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评审小组通过</w:t>
      </w:r>
      <w:r>
        <w:rPr>
          <w:rFonts w:hint="eastAsia" w:cs="宋体"/>
          <w:color w:val="000000"/>
          <w:spacing w:val="0"/>
          <w:w w:val="100"/>
          <w:position w:val="0"/>
          <w:sz w:val="24"/>
          <w:szCs w:val="24"/>
          <w:lang w:eastAsia="zh-CN"/>
        </w:rPr>
        <w:t>对</w:t>
      </w:r>
      <w:r>
        <w:rPr>
          <w:rFonts w:hint="eastAsia" w:ascii="宋体" w:hAnsi="宋体" w:eastAsia="宋体" w:cs="宋体"/>
          <w:color w:val="000000"/>
          <w:spacing w:val="0"/>
          <w:w w:val="100"/>
          <w:position w:val="0"/>
          <w:sz w:val="24"/>
          <w:szCs w:val="24"/>
        </w:rPr>
        <w:t>采购成本、供应能力、风险管控、釆购目标等的分析，对供应商拟提供标的的技术、商务进行物有所值综合评价。</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bookmarkStart w:id="645" w:name="bookmark1190"/>
      <w:bookmarkEnd w:id="645"/>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编写评审报告。</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val="zh-TW" w:eastAsia="zh-TW"/>
        </w:rPr>
      </w:pPr>
      <w:r>
        <w:rPr>
          <w:rFonts w:hint="eastAsia" w:ascii="宋体" w:hAnsi="宋体" w:eastAsia="宋体" w:cs="宋体"/>
          <w:color w:val="000000"/>
          <w:spacing w:val="0"/>
          <w:w w:val="100"/>
          <w:position w:val="0"/>
          <w:sz w:val="24"/>
          <w:szCs w:val="24"/>
          <w:lang w:val="zh-TW" w:eastAsia="zh-TW"/>
        </w:rPr>
        <w:t>评审小组根据预期的谈判目标综合谈判纪要编写评审报告，推荐候选成交供应商或提出谈判终止建议。</w:t>
      </w:r>
      <w:bookmarkEnd w:id="626"/>
      <w:bookmarkEnd w:id="627"/>
      <w:bookmarkEnd w:id="628"/>
      <w:bookmarkStart w:id="646" w:name="_Toc20340"/>
      <w:bookmarkStart w:id="647" w:name="bookmark542"/>
      <w:bookmarkStart w:id="648" w:name="bookmark543"/>
      <w:bookmarkStart w:id="649" w:name="bookmark541"/>
    </w:p>
    <w:p>
      <w:pPr>
        <w:spacing w:line="240" w:lineRule="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br w:type="page"/>
      </w:r>
    </w:p>
    <w:p>
      <w:pPr>
        <w:pStyle w:val="2"/>
        <w:bidi w:val="0"/>
        <w:jc w:val="center"/>
        <w:rPr>
          <w:rFonts w:hint="eastAsia" w:ascii="宋体" w:hAnsi="宋体" w:eastAsia="宋体" w:cs="宋体"/>
          <w:sz w:val="52"/>
          <w:szCs w:val="52"/>
          <w:lang w:val="en-US" w:eastAsia="zh-CN"/>
        </w:rPr>
      </w:pPr>
      <w:bookmarkStart w:id="650" w:name="_Toc26007"/>
      <w:r>
        <w:rPr>
          <w:rFonts w:hint="eastAsia" w:ascii="宋体" w:hAnsi="宋体" w:eastAsia="宋体" w:cs="宋体"/>
          <w:sz w:val="52"/>
          <w:szCs w:val="52"/>
          <w:lang w:val="en-US" w:eastAsia="zh-CN"/>
        </w:rPr>
        <w:t>第四章   合同</w:t>
      </w:r>
      <w:bookmarkEnd w:id="646"/>
      <w:r>
        <w:rPr>
          <w:rFonts w:hint="eastAsia" w:ascii="宋体" w:hAnsi="宋体" w:eastAsia="宋体" w:cs="宋体"/>
          <w:sz w:val="52"/>
          <w:szCs w:val="52"/>
          <w:lang w:val="en-US" w:eastAsia="zh-CN"/>
        </w:rPr>
        <w:t>条款及格式</w:t>
      </w:r>
      <w:bookmarkEnd w:id="650"/>
    </w:p>
    <w:p>
      <w:pP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br w:type="page"/>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jc w:val="center"/>
        <w:rPr>
          <w:rFonts w:hint="eastAsia" w:ascii="仿宋" w:hAnsi="仿宋" w:eastAsia="仿宋" w:cs="仿宋"/>
          <w:sz w:val="36"/>
          <w:szCs w:val="36"/>
        </w:rPr>
      </w:pPr>
      <w:r>
        <w:rPr>
          <w:rFonts w:hint="eastAsia" w:ascii="仿宋" w:hAnsi="仿宋" w:eastAsia="仿宋" w:cs="仿宋"/>
          <w:sz w:val="36"/>
          <w:szCs w:val="36"/>
        </w:rPr>
        <w:t>浦城县乡村振兴示范带建设项目（20条示范带）工程</w:t>
      </w:r>
    </w:p>
    <w:p>
      <w:pPr>
        <w:jc w:val="center"/>
        <w:rPr>
          <w:rFonts w:hint="eastAsia" w:ascii="仿宋" w:hAnsi="仿宋" w:eastAsia="仿宋" w:cs="仿宋"/>
          <w:sz w:val="36"/>
          <w:szCs w:val="36"/>
        </w:rPr>
      </w:pPr>
      <w:r>
        <w:rPr>
          <w:rFonts w:hint="eastAsia" w:ascii="仿宋" w:hAnsi="仿宋" w:eastAsia="仿宋" w:cs="仿宋"/>
          <w:sz w:val="36"/>
          <w:szCs w:val="36"/>
        </w:rPr>
        <w:t>总承包项目预算编制服务合同</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36" w:line="227" w:lineRule="auto"/>
        <w:ind w:left="9873"/>
        <w:rPr>
          <w:rFonts w:ascii="宋体" w:hAnsi="宋体" w:eastAsia="宋体" w:cs="宋体"/>
          <w:sz w:val="11"/>
          <w:szCs w:val="11"/>
        </w:rPr>
      </w:pPr>
      <w:r>
        <w:rPr>
          <w:rFonts w:ascii="宋体" w:hAnsi="宋体" w:eastAsia="宋体" w:cs="宋体"/>
          <w:color w:val="EE6F88"/>
          <w:sz w:val="11"/>
          <w:szCs w:val="11"/>
        </w:rPr>
        <w:t>山</w:t>
      </w:r>
    </w:p>
    <w:p>
      <w:pPr>
        <w:pStyle w:val="10"/>
        <w:spacing w:before="174" w:line="631" w:lineRule="exact"/>
        <w:ind w:left="1783"/>
        <w:rPr>
          <w:rFonts w:hint="eastAsia" w:eastAsia="仿宋"/>
          <w:lang w:eastAsia="zh-CN"/>
        </w:rPr>
      </w:pPr>
      <w:r>
        <w:rPr>
          <w:spacing w:val="16"/>
          <w:position w:val="26"/>
        </w:rPr>
        <w:t>合同编号：</w:t>
      </w:r>
      <w:r>
        <w:rPr>
          <w:rFonts w:hint="eastAsia"/>
          <w:spacing w:val="16"/>
          <w:position w:val="26"/>
          <w:lang w:val="en-US" w:eastAsia="zh-CN"/>
        </w:rPr>
        <w:t xml:space="preserve"> </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10"/>
        <w:spacing w:before="91" w:line="222" w:lineRule="auto"/>
        <w:ind w:left="913"/>
      </w:pPr>
      <w:r>
        <w:rPr>
          <w:spacing w:val="23"/>
        </w:rPr>
        <w:t xml:space="preserve">甲方(委托人): </w:t>
      </w:r>
      <w:r>
        <w:rPr>
          <w:rFonts w:hint="eastAsia"/>
          <w:spacing w:val="23"/>
          <w:u w:val="single" w:color="auto"/>
        </w:rPr>
        <w:t xml:space="preserve"> 浦城县交通工程建设开发有限公司</w:t>
      </w:r>
    </w:p>
    <w:p>
      <w:pPr>
        <w:pStyle w:val="10"/>
        <w:spacing w:line="222" w:lineRule="auto"/>
        <w:ind w:left="913"/>
        <w:rPr>
          <w:spacing w:val="22"/>
        </w:rPr>
      </w:pPr>
    </w:p>
    <w:p>
      <w:pPr>
        <w:pStyle w:val="10"/>
        <w:spacing w:line="222" w:lineRule="auto"/>
        <w:ind w:left="913"/>
        <w:rPr>
          <w:rFonts w:hint="default" w:eastAsia="仿宋"/>
          <w:lang w:val="en-US" w:eastAsia="zh-CN"/>
        </w:rPr>
      </w:pPr>
      <w:r>
        <w:rPr>
          <w:spacing w:val="22"/>
        </w:rPr>
        <w:t xml:space="preserve">乙方(咨询人): </w:t>
      </w:r>
      <w:r>
        <w:rPr>
          <w:rFonts w:hint="eastAsia"/>
          <w:spacing w:val="22"/>
          <w:u w:val="single" w:color="auto"/>
          <w:lang w:val="en-US" w:eastAsia="zh-CN"/>
        </w:rPr>
        <w:t xml:space="preserve">                           </w:t>
      </w:r>
    </w:p>
    <w:p>
      <w:pPr>
        <w:pStyle w:val="10"/>
        <w:spacing w:before="273" w:line="222" w:lineRule="auto"/>
        <w:ind w:left="913"/>
        <w:rPr>
          <w:rFonts w:hint="eastAsia" w:eastAsia="仿宋"/>
          <w:lang w:eastAsia="zh-CN"/>
        </w:rPr>
      </w:pPr>
      <w:r>
        <w:rPr>
          <w:spacing w:val="5"/>
        </w:rPr>
        <w:t>签</w:t>
      </w:r>
      <w:r>
        <w:rPr>
          <w:rFonts w:hint="eastAsia"/>
          <w:spacing w:val="5"/>
          <w:lang w:val="en-US" w:eastAsia="zh-CN"/>
        </w:rPr>
        <w:t xml:space="preserve"> </w:t>
      </w:r>
      <w:r>
        <w:rPr>
          <w:spacing w:val="5"/>
        </w:rPr>
        <w:t>订</w:t>
      </w:r>
      <w:r>
        <w:rPr>
          <w:rFonts w:hint="eastAsia"/>
          <w:spacing w:val="5"/>
          <w:lang w:val="en-US" w:eastAsia="zh-CN"/>
        </w:rPr>
        <w:t xml:space="preserve"> </w:t>
      </w:r>
      <w:r>
        <w:rPr>
          <w:spacing w:val="5"/>
        </w:rPr>
        <w:t>地</w:t>
      </w:r>
      <w:r>
        <w:rPr>
          <w:rFonts w:hint="eastAsia"/>
          <w:spacing w:val="5"/>
          <w:lang w:val="en-US" w:eastAsia="zh-CN"/>
        </w:rPr>
        <w:t xml:space="preserve"> </w:t>
      </w:r>
      <w:r>
        <w:rPr>
          <w:spacing w:val="5"/>
        </w:rPr>
        <w:t xml:space="preserve">点： </w:t>
      </w:r>
      <w:r>
        <w:rPr>
          <w:spacing w:val="5"/>
          <w:u w:val="single" w:color="auto"/>
        </w:rPr>
        <w:t>南平市</w:t>
      </w:r>
      <w:r>
        <w:rPr>
          <w:rFonts w:hint="eastAsia"/>
          <w:spacing w:val="5"/>
          <w:u w:val="single" w:color="auto"/>
          <w:lang w:eastAsia="zh-CN"/>
        </w:rPr>
        <w:t>浦城县</w:t>
      </w:r>
    </w:p>
    <w:p>
      <w:pPr>
        <w:pStyle w:val="10"/>
        <w:spacing w:before="240" w:line="227" w:lineRule="auto"/>
        <w:ind w:left="913"/>
        <w:rPr>
          <w:sz w:val="33"/>
          <w:szCs w:val="33"/>
        </w:rPr>
      </w:pPr>
      <w:r>
        <w:rPr>
          <w:rFonts w:hint="eastAsia"/>
          <w:spacing w:val="5"/>
          <w:u w:val="none" w:color="auto"/>
          <w:lang w:eastAsia="zh-CN"/>
        </w:rPr>
        <w:t>签 订 时 间 ：</w:t>
      </w:r>
      <w:r>
        <w:rPr>
          <w:rFonts w:hint="eastAsia"/>
          <w:spacing w:val="5"/>
          <w:u w:val="single" w:color="auto"/>
          <w:lang w:eastAsia="zh-CN"/>
        </w:rPr>
        <w:t xml:space="preserve">     年</w:t>
      </w:r>
      <w:r>
        <w:rPr>
          <w:rFonts w:hint="eastAsia"/>
          <w:spacing w:val="5"/>
          <w:u w:val="single" w:color="auto"/>
          <w:lang w:val="en-US" w:eastAsia="zh-CN"/>
        </w:rPr>
        <w:t xml:space="preserve"> 月 日</w:t>
      </w:r>
      <w:r>
        <w:rPr>
          <w:rFonts w:hint="eastAsia"/>
          <w:spacing w:val="5"/>
          <w:u w:val="single" w:color="auto"/>
          <w:lang w:eastAsia="zh-CN"/>
        </w:rPr>
        <w:t xml:space="preserve">    </w:t>
      </w:r>
      <w:r>
        <w:rPr>
          <w:position w:val="1"/>
          <w:sz w:val="33"/>
          <w:szCs w:val="33"/>
          <w:u w:val="single" w:color="auto"/>
        </w:rPr>
        <w:t xml:space="preserve">        </w:t>
      </w:r>
    </w:p>
    <w:p>
      <w:pPr>
        <w:spacing w:line="227" w:lineRule="auto"/>
        <w:rPr>
          <w:sz w:val="33"/>
          <w:szCs w:val="33"/>
        </w:rPr>
        <w:sectPr>
          <w:pgSz w:w="11900" w:h="16830"/>
          <w:pgMar w:top="1440" w:right="1080" w:bottom="1440" w:left="1080" w:header="0" w:footer="0" w:gutter="0"/>
          <w:pgNumType w:fmt="decimal"/>
          <w:cols w:space="720" w:num="1"/>
        </w:sectPr>
      </w:pPr>
    </w:p>
    <w:p>
      <w:pPr>
        <w:pStyle w:val="10"/>
        <w:spacing w:before="88" w:line="634" w:lineRule="exact"/>
        <w:ind w:left="549"/>
        <w:rPr>
          <w:spacing w:val="1"/>
          <w:position w:val="27"/>
          <w:sz w:val="27"/>
          <w:szCs w:val="27"/>
          <w:lang w:val="en-US" w:eastAsia="en-US"/>
        </w:rPr>
      </w:pPr>
    </w:p>
    <w:p>
      <w:pPr>
        <w:pStyle w:val="10"/>
        <w:spacing w:before="88" w:line="634" w:lineRule="exact"/>
        <w:ind w:left="549"/>
        <w:jc w:val="center"/>
        <w:rPr>
          <w:spacing w:val="1"/>
          <w:position w:val="27"/>
          <w:sz w:val="27"/>
          <w:szCs w:val="27"/>
          <w:lang w:val="en-US" w:eastAsia="en-US"/>
        </w:rPr>
      </w:pPr>
      <w:r>
        <w:rPr>
          <w:spacing w:val="1"/>
          <w:position w:val="27"/>
          <w:sz w:val="27"/>
          <w:szCs w:val="27"/>
          <w:lang w:val="en-US" w:eastAsia="en-US"/>
        </w:rPr>
        <w:t>建设工程造价咨询合同</w:t>
      </w:r>
    </w:p>
    <w:p>
      <w:pPr>
        <w:pStyle w:val="10"/>
        <w:spacing w:before="88" w:line="634" w:lineRule="exact"/>
        <w:jc w:val="center"/>
        <w:rPr>
          <w:spacing w:val="1"/>
          <w:position w:val="27"/>
          <w:sz w:val="27"/>
          <w:szCs w:val="27"/>
          <w:lang w:val="en-US" w:eastAsia="en-US"/>
        </w:rPr>
      </w:pPr>
      <w:r>
        <w:rPr>
          <w:spacing w:val="1"/>
          <w:position w:val="27"/>
          <w:sz w:val="27"/>
          <w:szCs w:val="27"/>
          <w:lang w:val="en-US" w:eastAsia="en-US"/>
        </w:rPr>
        <w:t>第一部分  建设工程造价咨询合同</w:t>
      </w:r>
    </w:p>
    <w:p>
      <w:pPr>
        <w:pStyle w:val="10"/>
        <w:spacing w:before="88" w:line="634" w:lineRule="exact"/>
        <w:ind w:left="549" w:firstLine="544" w:firstLineChars="200"/>
        <w:rPr>
          <w:spacing w:val="1"/>
          <w:position w:val="27"/>
          <w:sz w:val="27"/>
          <w:szCs w:val="27"/>
          <w:lang w:val="en-US" w:eastAsia="en-US"/>
        </w:rPr>
      </w:pPr>
      <w:r>
        <w:rPr>
          <w:rFonts w:hint="eastAsia"/>
          <w:spacing w:val="1"/>
          <w:position w:val="27"/>
          <w:sz w:val="27"/>
          <w:szCs w:val="27"/>
          <w:u w:val="single"/>
          <w:lang w:val="en-US" w:eastAsia="en-US"/>
        </w:rPr>
        <w:t>浦城县交通工程建设开发有限公司</w:t>
      </w:r>
      <w:r>
        <w:rPr>
          <w:spacing w:val="1"/>
          <w:position w:val="27"/>
          <w:sz w:val="27"/>
          <w:szCs w:val="27"/>
          <w:lang w:val="en-US" w:eastAsia="en-US"/>
        </w:rPr>
        <w:t>(以下简称委托人)与</w:t>
      </w:r>
      <w:r>
        <w:rPr>
          <w:rFonts w:hint="eastAsia"/>
          <w:spacing w:val="1"/>
          <w:position w:val="27"/>
          <w:sz w:val="27"/>
          <w:szCs w:val="27"/>
          <w:u w:val="single"/>
          <w:lang w:val="en-US" w:eastAsia="zh-CN"/>
        </w:rPr>
        <w:t xml:space="preserve">      </w:t>
      </w:r>
      <w:r>
        <w:rPr>
          <w:spacing w:val="1"/>
          <w:position w:val="27"/>
          <w:sz w:val="27"/>
          <w:szCs w:val="27"/>
          <w:lang w:val="en-US" w:eastAsia="en-US"/>
        </w:rPr>
        <w:t xml:space="preserve"> (以下简称咨询人)经过</w:t>
      </w:r>
      <w:r>
        <w:rPr>
          <w:rFonts w:hint="eastAsia"/>
          <w:spacing w:val="1"/>
          <w:position w:val="27"/>
          <w:sz w:val="27"/>
          <w:szCs w:val="27"/>
          <w:lang w:val="en-US" w:eastAsia="zh-CN"/>
        </w:rPr>
        <w:t>双</w:t>
      </w:r>
      <w:r>
        <w:rPr>
          <w:spacing w:val="1"/>
          <w:position w:val="27"/>
          <w:sz w:val="27"/>
          <w:szCs w:val="27"/>
          <w:lang w:val="en-US" w:eastAsia="en-US"/>
        </w:rPr>
        <w:t>方协商一致，签订本合同。</w:t>
      </w:r>
    </w:p>
    <w:p>
      <w:pPr>
        <w:pStyle w:val="10"/>
        <w:spacing w:before="88" w:line="634" w:lineRule="exact"/>
        <w:ind w:left="549"/>
        <w:rPr>
          <w:spacing w:val="1"/>
          <w:position w:val="27"/>
          <w:sz w:val="27"/>
          <w:szCs w:val="27"/>
          <w:lang w:val="en-US" w:eastAsia="en-US"/>
        </w:rPr>
      </w:pPr>
      <w:r>
        <w:rPr>
          <w:spacing w:val="1"/>
          <w:position w:val="27"/>
          <w:sz w:val="27"/>
          <w:szCs w:val="27"/>
          <w:lang w:val="en-US" w:eastAsia="en-US"/>
        </w:rPr>
        <w:t>一、委托人委托咨询人为以下项目提供建设工程造价咨询服务：</w:t>
      </w:r>
    </w:p>
    <w:p>
      <w:pPr>
        <w:pStyle w:val="10"/>
        <w:spacing w:before="88" w:line="634" w:lineRule="exact"/>
        <w:ind w:left="549"/>
        <w:rPr>
          <w:rFonts w:hint="eastAsia"/>
          <w:spacing w:val="1"/>
          <w:position w:val="27"/>
          <w:sz w:val="27"/>
          <w:szCs w:val="27"/>
          <w:u w:val="single"/>
          <w:lang w:val="en-US" w:eastAsia="zh-CN"/>
        </w:rPr>
      </w:pPr>
      <w:r>
        <w:rPr>
          <w:spacing w:val="1"/>
          <w:position w:val="27"/>
          <w:sz w:val="27"/>
          <w:szCs w:val="27"/>
          <w:lang w:val="en-US" w:eastAsia="en-US"/>
        </w:rPr>
        <w:t>1. 项目名称：</w:t>
      </w:r>
      <w:r>
        <w:rPr>
          <w:rFonts w:hint="eastAsia"/>
          <w:spacing w:val="1"/>
          <w:position w:val="27"/>
          <w:sz w:val="27"/>
          <w:szCs w:val="27"/>
          <w:u w:val="single"/>
          <w:lang w:val="en-US" w:eastAsia="zh-CN"/>
        </w:rPr>
        <w:t>浦城县乡村振兴示范带建设项目（20条示范带）工程总承包项目</w:t>
      </w:r>
    </w:p>
    <w:p>
      <w:pPr>
        <w:pStyle w:val="10"/>
        <w:spacing w:before="88" w:line="634" w:lineRule="exact"/>
        <w:ind w:left="549"/>
        <w:rPr>
          <w:spacing w:val="1"/>
          <w:position w:val="27"/>
          <w:sz w:val="27"/>
          <w:szCs w:val="27"/>
          <w:u w:val="single"/>
          <w:lang w:val="en-US" w:eastAsia="en-US"/>
        </w:rPr>
      </w:pPr>
      <w:r>
        <w:rPr>
          <w:spacing w:val="1"/>
          <w:position w:val="27"/>
          <w:sz w:val="27"/>
          <w:szCs w:val="27"/>
          <w:lang w:val="en-US" w:eastAsia="en-US"/>
        </w:rPr>
        <w:t xml:space="preserve">2. 服务类别： </w:t>
      </w:r>
      <w:r>
        <w:rPr>
          <w:spacing w:val="1"/>
          <w:position w:val="27"/>
          <w:sz w:val="27"/>
          <w:szCs w:val="27"/>
          <w:u w:val="single"/>
          <w:lang w:val="en-US" w:eastAsia="en-US"/>
        </w:rPr>
        <w:t>预算编制服务</w:t>
      </w:r>
    </w:p>
    <w:p>
      <w:pPr>
        <w:pStyle w:val="10"/>
        <w:spacing w:before="88" w:line="634" w:lineRule="exact"/>
        <w:ind w:left="549"/>
        <w:rPr>
          <w:rFonts w:hint="eastAsia"/>
          <w:spacing w:val="1"/>
          <w:position w:val="27"/>
          <w:sz w:val="27"/>
          <w:szCs w:val="27"/>
          <w:u w:val="single"/>
          <w:lang w:val="en-US" w:eastAsia="zh-CN"/>
        </w:rPr>
      </w:pPr>
      <w:r>
        <w:rPr>
          <w:spacing w:val="1"/>
          <w:position w:val="27"/>
          <w:sz w:val="27"/>
          <w:szCs w:val="27"/>
          <w:lang w:val="en-US" w:eastAsia="en-US"/>
        </w:rPr>
        <w:t>3. 编制造价：</w:t>
      </w:r>
      <w:r>
        <w:rPr>
          <w:rFonts w:hint="eastAsia" w:eastAsia="宋体"/>
          <w:spacing w:val="1"/>
          <w:position w:val="27"/>
          <w:sz w:val="27"/>
          <w:szCs w:val="27"/>
          <w:u w:val="single"/>
          <w:lang w:val="en-US" w:eastAsia="zh-CN"/>
        </w:rPr>
        <w:t xml:space="preserve"> </w:t>
      </w:r>
      <w:r>
        <w:rPr>
          <w:spacing w:val="1"/>
          <w:position w:val="27"/>
          <w:sz w:val="27"/>
          <w:szCs w:val="27"/>
          <w:u w:val="single"/>
          <w:lang w:val="en-US" w:eastAsia="en-US"/>
        </w:rPr>
        <w:t>建筑安装工程费暂按人民币</w:t>
      </w:r>
      <w:r>
        <w:rPr>
          <w:rFonts w:hint="eastAsia"/>
          <w:spacing w:val="1"/>
          <w:position w:val="27"/>
          <w:sz w:val="27"/>
          <w:szCs w:val="27"/>
          <w:u w:val="single"/>
          <w:lang w:val="en-US" w:eastAsia="en-US"/>
        </w:rPr>
        <w:t>21036</w:t>
      </w:r>
      <w:r>
        <w:rPr>
          <w:spacing w:val="1"/>
          <w:position w:val="27"/>
          <w:sz w:val="27"/>
          <w:szCs w:val="27"/>
          <w:u w:val="single"/>
          <w:lang w:val="en-US" w:eastAsia="en-US"/>
        </w:rPr>
        <w:t>万元</w:t>
      </w:r>
      <w:r>
        <w:rPr>
          <w:rFonts w:hint="eastAsia"/>
          <w:spacing w:val="1"/>
          <w:position w:val="27"/>
          <w:sz w:val="27"/>
          <w:szCs w:val="27"/>
          <w:u w:val="single"/>
          <w:lang w:val="en-US" w:eastAsia="zh-CN"/>
        </w:rPr>
        <w:t>，专业调整系数为0.7。</w:t>
      </w:r>
    </w:p>
    <w:p>
      <w:pPr>
        <w:pStyle w:val="10"/>
        <w:spacing w:before="88" w:line="634" w:lineRule="exact"/>
        <w:ind w:left="549"/>
        <w:rPr>
          <w:rFonts w:hint="default"/>
          <w:spacing w:val="1"/>
          <w:position w:val="27"/>
          <w:sz w:val="27"/>
          <w:szCs w:val="27"/>
          <w:u w:val="none"/>
          <w:lang w:val="en-US" w:eastAsia="zh-CN"/>
        </w:rPr>
      </w:pPr>
      <w:r>
        <w:rPr>
          <w:rFonts w:hint="eastAsia"/>
          <w:spacing w:val="1"/>
          <w:position w:val="27"/>
          <w:sz w:val="27"/>
          <w:szCs w:val="27"/>
          <w:u w:val="none"/>
          <w:lang w:val="en-US" w:eastAsia="zh-CN"/>
        </w:rPr>
        <w:t>4. 合同签约价：人民币大写</w:t>
      </w:r>
      <w:r>
        <w:rPr>
          <w:rFonts w:hint="eastAsia"/>
          <w:spacing w:val="1"/>
          <w:position w:val="27"/>
          <w:sz w:val="27"/>
          <w:szCs w:val="27"/>
          <w:u w:val="single"/>
          <w:lang w:val="en-US" w:eastAsia="zh-CN"/>
        </w:rPr>
        <w:t xml:space="preserve">        </w:t>
      </w:r>
      <w:r>
        <w:rPr>
          <w:rFonts w:hint="eastAsia"/>
          <w:spacing w:val="1"/>
          <w:position w:val="27"/>
          <w:sz w:val="27"/>
          <w:szCs w:val="27"/>
          <w:u w:val="none"/>
          <w:lang w:val="en-US" w:eastAsia="zh-CN"/>
        </w:rPr>
        <w:t xml:space="preserve">元整（¥ </w:t>
      </w:r>
      <w:r>
        <w:rPr>
          <w:rFonts w:hint="eastAsia"/>
          <w:spacing w:val="1"/>
          <w:position w:val="27"/>
          <w:sz w:val="27"/>
          <w:szCs w:val="27"/>
          <w:u w:val="single"/>
          <w:lang w:val="en-US" w:eastAsia="zh-CN"/>
        </w:rPr>
        <w:t xml:space="preserve">         </w:t>
      </w:r>
      <w:r>
        <w:rPr>
          <w:rFonts w:hint="eastAsia"/>
          <w:spacing w:val="1"/>
          <w:position w:val="27"/>
          <w:sz w:val="27"/>
          <w:szCs w:val="27"/>
          <w:u w:val="none"/>
          <w:lang w:val="en-US" w:eastAsia="zh-CN"/>
        </w:rPr>
        <w:t>元），浮动幅度值-</w:t>
      </w:r>
      <w:r>
        <w:rPr>
          <w:rFonts w:hint="eastAsia"/>
          <w:spacing w:val="1"/>
          <w:position w:val="27"/>
          <w:sz w:val="27"/>
          <w:szCs w:val="27"/>
          <w:u w:val="single"/>
          <w:lang w:val="en-US" w:eastAsia="zh-CN"/>
        </w:rPr>
        <w:t xml:space="preserve">   </w:t>
      </w:r>
      <w:r>
        <w:rPr>
          <w:rFonts w:hint="eastAsia"/>
          <w:spacing w:val="1"/>
          <w:position w:val="27"/>
          <w:sz w:val="27"/>
          <w:szCs w:val="27"/>
          <w:u w:val="none"/>
          <w:lang w:val="en-US" w:eastAsia="zh-CN"/>
        </w:rPr>
        <w:t>%，最终预算编制费结算金额以预算审核单位审核后的预算金额(不下浮)作为计费基数，合同签定时约定的专业调整系数及浮动幅度值不变进行计取。</w:t>
      </w:r>
    </w:p>
    <w:p>
      <w:pPr>
        <w:pStyle w:val="10"/>
        <w:spacing w:before="88" w:line="634" w:lineRule="exact"/>
        <w:ind w:left="549"/>
        <w:rPr>
          <w:spacing w:val="1"/>
          <w:position w:val="27"/>
          <w:sz w:val="27"/>
          <w:szCs w:val="27"/>
          <w:lang w:val="en-US" w:eastAsia="en-US"/>
        </w:rPr>
      </w:pPr>
      <w:r>
        <w:rPr>
          <w:spacing w:val="1"/>
          <w:position w:val="27"/>
          <w:sz w:val="27"/>
          <w:szCs w:val="27"/>
          <w:lang w:val="en-US" w:eastAsia="en-US"/>
        </w:rPr>
        <w:t>二、本合同的措词和用语与所属建设工程造价咨询合同条件及有关附</w:t>
      </w:r>
    </w:p>
    <w:p>
      <w:pPr>
        <w:pStyle w:val="10"/>
        <w:spacing w:before="88" w:line="634" w:lineRule="exact"/>
        <w:ind w:left="549"/>
        <w:rPr>
          <w:spacing w:val="1"/>
          <w:position w:val="27"/>
          <w:sz w:val="27"/>
          <w:szCs w:val="27"/>
          <w:lang w:val="en-US" w:eastAsia="en-US"/>
        </w:rPr>
      </w:pPr>
      <w:r>
        <w:rPr>
          <w:spacing w:val="1"/>
          <w:position w:val="27"/>
          <w:sz w:val="27"/>
          <w:szCs w:val="27"/>
          <w:lang w:val="en-US" w:eastAsia="en-US"/>
        </w:rPr>
        <w:t>件同义。</w:t>
      </w:r>
    </w:p>
    <w:p>
      <w:pPr>
        <w:pStyle w:val="10"/>
        <w:spacing w:before="88" w:line="634" w:lineRule="exact"/>
        <w:ind w:left="549"/>
        <w:rPr>
          <w:spacing w:val="1"/>
          <w:position w:val="27"/>
          <w:sz w:val="27"/>
          <w:szCs w:val="27"/>
          <w:lang w:val="en-US" w:eastAsia="en-US"/>
        </w:rPr>
      </w:pPr>
      <w:r>
        <w:rPr>
          <w:spacing w:val="1"/>
          <w:position w:val="27"/>
          <w:sz w:val="27"/>
          <w:szCs w:val="27"/>
          <w:lang w:val="en-US" w:eastAsia="en-US"/>
        </w:rPr>
        <w:t>三、下列文件均为本合同的组成部分：</w:t>
      </w:r>
    </w:p>
    <w:p>
      <w:pPr>
        <w:pStyle w:val="10"/>
        <w:spacing w:before="88" w:line="634" w:lineRule="exact"/>
        <w:ind w:left="549"/>
        <w:rPr>
          <w:spacing w:val="1"/>
          <w:position w:val="27"/>
          <w:sz w:val="27"/>
          <w:szCs w:val="27"/>
          <w:lang w:val="en-US" w:eastAsia="en-US"/>
        </w:rPr>
      </w:pPr>
      <w:r>
        <w:rPr>
          <w:spacing w:val="1"/>
          <w:position w:val="27"/>
          <w:sz w:val="27"/>
          <w:szCs w:val="27"/>
          <w:lang w:val="en-US" w:eastAsia="en-US"/>
        </w:rPr>
        <w:t>1. 建设工程造价咨询合同标准条件；</w:t>
      </w:r>
    </w:p>
    <w:p>
      <w:pPr>
        <w:pStyle w:val="10"/>
        <w:spacing w:before="88" w:line="634" w:lineRule="exact"/>
        <w:ind w:left="549"/>
        <w:rPr>
          <w:spacing w:val="1"/>
          <w:position w:val="27"/>
          <w:sz w:val="27"/>
          <w:szCs w:val="27"/>
          <w:lang w:val="en-US" w:eastAsia="en-US"/>
        </w:rPr>
      </w:pPr>
      <w:r>
        <w:rPr>
          <w:spacing w:val="1"/>
          <w:position w:val="27"/>
          <w:sz w:val="27"/>
          <w:szCs w:val="27"/>
          <w:lang w:val="en-US" w:eastAsia="en-US"/>
        </w:rPr>
        <w:t>2. 建设工程造价咨询合同专用条件；</w:t>
      </w:r>
    </w:p>
    <w:p>
      <w:pPr>
        <w:pStyle w:val="10"/>
        <w:spacing w:before="88" w:line="634" w:lineRule="exact"/>
        <w:ind w:left="549"/>
        <w:rPr>
          <w:spacing w:val="1"/>
          <w:position w:val="27"/>
          <w:sz w:val="27"/>
          <w:szCs w:val="27"/>
          <w:lang w:val="en-US" w:eastAsia="en-US"/>
        </w:rPr>
      </w:pPr>
      <w:r>
        <w:rPr>
          <w:spacing w:val="1"/>
          <w:position w:val="27"/>
          <w:sz w:val="27"/>
          <w:szCs w:val="27"/>
          <w:lang w:val="en-US" w:eastAsia="en-US"/>
        </w:rPr>
        <w:t>3. 建设工程造价咨询合同执行中共同签署的补充与修正文件。</w:t>
      </w:r>
    </w:p>
    <w:p>
      <w:pPr>
        <w:pStyle w:val="10"/>
        <w:spacing w:before="88" w:line="634" w:lineRule="exact"/>
        <w:ind w:left="549"/>
        <w:rPr>
          <w:spacing w:val="1"/>
          <w:position w:val="27"/>
          <w:sz w:val="27"/>
          <w:szCs w:val="27"/>
          <w:lang w:val="en-US" w:eastAsia="en-US"/>
        </w:rPr>
      </w:pPr>
      <w:r>
        <w:rPr>
          <w:spacing w:val="1"/>
          <w:position w:val="27"/>
          <w:sz w:val="27"/>
          <w:szCs w:val="27"/>
          <w:lang w:val="en-US" w:eastAsia="en-US"/>
        </w:rPr>
        <w:t>四、咨询人同意按照本合同的规定，承担本合同专用条件中议定范围</w:t>
      </w:r>
    </w:p>
    <w:p>
      <w:pPr>
        <w:pStyle w:val="10"/>
        <w:spacing w:before="88" w:line="634" w:lineRule="exact"/>
        <w:ind w:left="549"/>
        <w:rPr>
          <w:rFonts w:ascii="Arial"/>
          <w:sz w:val="21"/>
        </w:rPr>
      </w:pPr>
      <w:r>
        <w:rPr>
          <w:spacing w:val="1"/>
          <w:position w:val="27"/>
          <w:sz w:val="27"/>
          <w:szCs w:val="27"/>
          <w:lang w:val="en-US" w:eastAsia="en-US"/>
        </w:rPr>
        <w:t>内的建设工程造价咨询业务。</w:t>
      </w:r>
    </w:p>
    <w:p>
      <w:pPr>
        <w:pStyle w:val="10"/>
        <w:spacing w:before="88" w:line="634" w:lineRule="exact"/>
        <w:ind w:left="549"/>
        <w:rPr>
          <w:sz w:val="27"/>
          <w:szCs w:val="27"/>
        </w:rPr>
      </w:pPr>
      <w:r>
        <w:rPr>
          <w:spacing w:val="1"/>
          <w:position w:val="27"/>
          <w:sz w:val="27"/>
          <w:szCs w:val="27"/>
        </w:rPr>
        <w:t>五</w:t>
      </w:r>
      <w:r>
        <w:rPr>
          <w:spacing w:val="-35"/>
          <w:position w:val="27"/>
          <w:sz w:val="27"/>
          <w:szCs w:val="27"/>
        </w:rPr>
        <w:t xml:space="preserve"> </w:t>
      </w:r>
      <w:r>
        <w:rPr>
          <w:spacing w:val="1"/>
          <w:position w:val="27"/>
          <w:sz w:val="27"/>
          <w:szCs w:val="27"/>
        </w:rPr>
        <w:t>、委托人同意按照本合同规定的期限、方式、币种、额</w:t>
      </w:r>
      <w:r>
        <w:rPr>
          <w:position w:val="27"/>
          <w:sz w:val="27"/>
          <w:szCs w:val="27"/>
        </w:rPr>
        <w:t>度向咨询人</w:t>
      </w:r>
    </w:p>
    <w:p>
      <w:pPr>
        <w:pStyle w:val="10"/>
        <w:spacing w:before="1" w:line="223" w:lineRule="auto"/>
        <w:rPr>
          <w:sz w:val="27"/>
          <w:szCs w:val="27"/>
        </w:rPr>
      </w:pPr>
      <w:r>
        <w:rPr>
          <w:spacing w:val="-5"/>
          <w:sz w:val="27"/>
          <w:szCs w:val="27"/>
        </w:rPr>
        <w:t>支付酬金。</w:t>
      </w:r>
    </w:p>
    <w:p>
      <w:pPr>
        <w:pStyle w:val="10"/>
        <w:spacing w:before="248" w:line="410" w:lineRule="auto"/>
        <w:ind w:right="314" w:firstLine="549"/>
        <w:rPr>
          <w:sz w:val="27"/>
          <w:szCs w:val="27"/>
        </w:rPr>
      </w:pPr>
      <w:r>
        <w:rPr>
          <w:spacing w:val="5"/>
          <w:sz w:val="27"/>
          <w:szCs w:val="27"/>
        </w:rPr>
        <w:t>六、本合同的建设项目工程造价咨询业务从合同签订之日起至预算审核工作完成为止。具体要求为：业主每提供一个完整的单位工程施工图纸</w:t>
      </w:r>
      <w:r>
        <w:rPr>
          <w:spacing w:val="1"/>
          <w:sz w:val="27"/>
          <w:szCs w:val="27"/>
        </w:rPr>
        <w:t xml:space="preserve"> </w:t>
      </w:r>
      <w:r>
        <w:rPr>
          <w:spacing w:val="12"/>
          <w:sz w:val="27"/>
          <w:szCs w:val="27"/>
        </w:rPr>
        <w:t>(经图审)后45个日历天提交该单位工程预算编制成果，并</w:t>
      </w:r>
      <w:r>
        <w:rPr>
          <w:spacing w:val="11"/>
          <w:sz w:val="27"/>
          <w:szCs w:val="27"/>
        </w:rPr>
        <w:t>根据业主要求</w:t>
      </w:r>
      <w:r>
        <w:rPr>
          <w:spacing w:val="2"/>
          <w:sz w:val="27"/>
          <w:szCs w:val="27"/>
        </w:rPr>
        <w:t>的时间配合预算审核工作。</w:t>
      </w:r>
    </w:p>
    <w:p>
      <w:pPr>
        <w:pStyle w:val="10"/>
        <w:spacing w:before="291" w:line="222" w:lineRule="auto"/>
        <w:ind w:left="549"/>
        <w:rPr>
          <w:sz w:val="27"/>
          <w:szCs w:val="27"/>
        </w:rPr>
      </w:pPr>
      <w:r>
        <w:rPr>
          <w:spacing w:val="-1"/>
          <w:sz w:val="27"/>
          <w:szCs w:val="27"/>
        </w:rPr>
        <w:t>七、本合同一式柒份，具有同等法律效力，委托方肆份，授托方叁份。</w:t>
      </w:r>
    </w:p>
    <w:p>
      <w:pPr>
        <w:pStyle w:val="10"/>
        <w:spacing w:before="226" w:line="224" w:lineRule="auto"/>
        <w:ind w:left="549"/>
        <w:rPr>
          <w:sz w:val="27"/>
          <w:szCs w:val="27"/>
        </w:rPr>
      </w:pPr>
      <w:r>
        <w:rPr>
          <w:spacing w:val="-15"/>
          <w:sz w:val="27"/>
          <w:szCs w:val="27"/>
        </w:rPr>
        <w:t>八</w:t>
      </w:r>
      <w:r>
        <w:rPr>
          <w:spacing w:val="15"/>
          <w:sz w:val="27"/>
          <w:szCs w:val="27"/>
        </w:rPr>
        <w:t xml:space="preserve"> </w:t>
      </w:r>
      <w:r>
        <w:rPr>
          <w:spacing w:val="-15"/>
          <w:sz w:val="27"/>
          <w:szCs w:val="27"/>
        </w:rPr>
        <w:t>、</w:t>
      </w:r>
      <w:r>
        <w:rPr>
          <w:spacing w:val="-1"/>
          <w:sz w:val="27"/>
          <w:szCs w:val="27"/>
        </w:rPr>
        <w:t>合同订立</w:t>
      </w:r>
    </w:p>
    <w:p>
      <w:pPr>
        <w:pStyle w:val="10"/>
        <w:spacing w:before="118" w:line="243" w:lineRule="auto"/>
        <w:ind w:left="549"/>
        <w:rPr>
          <w:rFonts w:hint="eastAsia" w:ascii="宋体" w:hAnsi="宋体" w:eastAsia="仿宋" w:cs="宋体"/>
          <w:sz w:val="27"/>
          <w:szCs w:val="27"/>
          <w:lang w:eastAsia="zh-CN"/>
        </w:rPr>
      </w:pPr>
      <w:r>
        <w:rPr>
          <w:spacing w:val="-19"/>
          <w:sz w:val="27"/>
          <w:szCs w:val="27"/>
        </w:rPr>
        <w:t>合同订立时间：</w:t>
      </w:r>
      <w:r>
        <w:rPr>
          <w:rFonts w:hint="eastAsia"/>
          <w:spacing w:val="-19"/>
          <w:sz w:val="27"/>
          <w:szCs w:val="27"/>
          <w:lang w:val="en-US" w:eastAsia="zh-CN"/>
        </w:rPr>
        <w:t xml:space="preserve">  </w:t>
      </w:r>
      <w:r>
        <w:rPr>
          <w:rFonts w:hint="eastAsia"/>
          <w:spacing w:val="-19"/>
          <w:sz w:val="27"/>
          <w:szCs w:val="27"/>
          <w:u w:val="single"/>
          <w:lang w:val="en-US" w:eastAsia="zh-CN"/>
        </w:rPr>
        <w:t xml:space="preserve">    </w:t>
      </w:r>
      <w:r>
        <w:rPr>
          <w:rFonts w:hint="eastAsia"/>
          <w:spacing w:val="46"/>
          <w:sz w:val="27"/>
          <w:szCs w:val="27"/>
          <w:lang w:eastAsia="zh-CN"/>
        </w:rPr>
        <w:t>年</w:t>
      </w:r>
      <w:r>
        <w:rPr>
          <w:rFonts w:hint="eastAsia"/>
          <w:spacing w:val="46"/>
          <w:sz w:val="27"/>
          <w:szCs w:val="27"/>
          <w:u w:val="single"/>
          <w:lang w:val="en-US" w:eastAsia="zh-CN"/>
        </w:rPr>
        <w:t xml:space="preserve">   </w:t>
      </w:r>
      <w:r>
        <w:rPr>
          <w:rFonts w:hint="eastAsia"/>
          <w:spacing w:val="46"/>
          <w:sz w:val="27"/>
          <w:szCs w:val="27"/>
          <w:lang w:eastAsia="zh-CN"/>
        </w:rPr>
        <w:t>月</w:t>
      </w:r>
      <w:r>
        <w:rPr>
          <w:rFonts w:hint="eastAsia"/>
          <w:spacing w:val="46"/>
          <w:sz w:val="27"/>
          <w:szCs w:val="27"/>
          <w:u w:val="single"/>
          <w:lang w:val="en-US" w:eastAsia="zh-CN"/>
        </w:rPr>
        <w:t xml:space="preserve">   </w:t>
      </w:r>
      <w:r>
        <w:rPr>
          <w:rFonts w:hint="eastAsia"/>
          <w:spacing w:val="46"/>
          <w:sz w:val="27"/>
          <w:szCs w:val="27"/>
          <w:lang w:eastAsia="zh-CN"/>
        </w:rPr>
        <w:t>日</w:t>
      </w:r>
    </w:p>
    <w:p>
      <w:pPr>
        <w:pStyle w:val="10"/>
        <w:spacing w:before="234" w:line="356" w:lineRule="auto"/>
        <w:ind w:left="549"/>
        <w:rPr>
          <w:rFonts w:hint="default" w:eastAsia="仿宋"/>
          <w:sz w:val="27"/>
          <w:szCs w:val="27"/>
          <w:lang w:val="en-US" w:eastAsia="zh-CN"/>
        </w:rPr>
      </w:pPr>
      <w:r>
        <w:rPr>
          <w:spacing w:val="-2"/>
          <w:sz w:val="27"/>
          <w:szCs w:val="27"/>
        </w:rPr>
        <w:t xml:space="preserve">合同订立地点： </w:t>
      </w:r>
      <w:r>
        <w:rPr>
          <w:spacing w:val="-2"/>
          <w:sz w:val="27"/>
          <w:szCs w:val="27"/>
          <w:u w:val="single" w:color="auto"/>
        </w:rPr>
        <w:t>南平市</w:t>
      </w:r>
      <w:r>
        <w:rPr>
          <w:rFonts w:hint="eastAsia"/>
          <w:spacing w:val="-2"/>
          <w:sz w:val="27"/>
          <w:szCs w:val="27"/>
          <w:u w:val="single" w:color="auto"/>
          <w:lang w:eastAsia="zh-CN"/>
        </w:rPr>
        <w:t>浦城县</w:t>
      </w:r>
      <w:r>
        <w:rPr>
          <w:rFonts w:hint="eastAsia"/>
          <w:spacing w:val="-2"/>
          <w:sz w:val="27"/>
          <w:szCs w:val="27"/>
          <w:u w:val="single" w:color="auto"/>
          <w:lang w:val="en-US" w:eastAsia="zh-CN"/>
        </w:rPr>
        <w:t xml:space="preserve"> </w:t>
      </w:r>
    </w:p>
    <w:p>
      <w:pPr>
        <w:pStyle w:val="10"/>
        <w:spacing w:line="223" w:lineRule="auto"/>
        <w:ind w:left="549"/>
        <w:rPr>
          <w:sz w:val="27"/>
          <w:szCs w:val="27"/>
        </w:rPr>
      </w:pPr>
      <w:r>
        <w:rPr>
          <w:spacing w:val="4"/>
          <w:sz w:val="27"/>
          <w:szCs w:val="27"/>
        </w:rPr>
        <w:t>九、合同生效</w:t>
      </w:r>
    </w:p>
    <w:p>
      <w:pPr>
        <w:pStyle w:val="10"/>
        <w:spacing w:before="213" w:line="222" w:lineRule="auto"/>
        <w:ind w:left="549"/>
        <w:rPr>
          <w:sz w:val="27"/>
          <w:szCs w:val="27"/>
        </w:rPr>
      </w:pPr>
      <w:r>
        <w:rPr>
          <w:spacing w:val="-3"/>
          <w:sz w:val="27"/>
          <w:szCs w:val="27"/>
        </w:rPr>
        <w:t>本合同</w:t>
      </w:r>
      <w:r>
        <w:rPr>
          <w:rFonts w:hint="eastAsia"/>
          <w:spacing w:val="-3"/>
          <w:sz w:val="27"/>
          <w:szCs w:val="27"/>
          <w:lang w:eastAsia="zh-CN"/>
        </w:rPr>
        <w:t>双</w:t>
      </w:r>
      <w:r>
        <w:rPr>
          <w:spacing w:val="-3"/>
          <w:sz w:val="27"/>
          <w:szCs w:val="27"/>
        </w:rPr>
        <w:t>方约定</w:t>
      </w:r>
      <w:r>
        <w:rPr>
          <w:spacing w:val="-107"/>
          <w:sz w:val="27"/>
          <w:szCs w:val="27"/>
        </w:rPr>
        <w:t xml:space="preserve"> </w:t>
      </w:r>
      <w:r>
        <w:rPr>
          <w:spacing w:val="-110"/>
          <w:sz w:val="27"/>
          <w:szCs w:val="27"/>
          <w:u w:val="single" w:color="auto"/>
        </w:rPr>
        <w:t xml:space="preserve"> </w:t>
      </w:r>
      <w:r>
        <w:rPr>
          <w:rFonts w:hint="eastAsia"/>
          <w:spacing w:val="-110"/>
          <w:sz w:val="27"/>
          <w:szCs w:val="27"/>
          <w:u w:val="single" w:color="auto"/>
          <w:lang w:val="en-US" w:eastAsia="zh-CN"/>
        </w:rPr>
        <w:t xml:space="preserve">        </w:t>
      </w:r>
      <w:r>
        <w:rPr>
          <w:spacing w:val="-3"/>
          <w:sz w:val="27"/>
          <w:szCs w:val="27"/>
          <w:u w:val="single" w:color="auto"/>
        </w:rPr>
        <w:t>签字</w:t>
      </w:r>
      <w:r>
        <w:rPr>
          <w:rFonts w:hint="eastAsia"/>
          <w:spacing w:val="-3"/>
          <w:sz w:val="27"/>
          <w:szCs w:val="27"/>
          <w:u w:val="single" w:color="auto"/>
          <w:lang w:eastAsia="zh-CN"/>
        </w:rPr>
        <w:t>或</w:t>
      </w:r>
      <w:r>
        <w:rPr>
          <w:spacing w:val="-3"/>
          <w:sz w:val="27"/>
          <w:szCs w:val="27"/>
          <w:u w:val="single" w:color="auto"/>
        </w:rPr>
        <w:t xml:space="preserve">盖章  </w:t>
      </w:r>
      <w:r>
        <w:rPr>
          <w:spacing w:val="-3"/>
          <w:sz w:val="27"/>
          <w:szCs w:val="27"/>
        </w:rPr>
        <w:t>后生效。</w:t>
      </w:r>
    </w:p>
    <w:p>
      <w:pPr>
        <w:spacing w:line="171" w:lineRule="exact"/>
      </w:pPr>
    </w:p>
    <w:p>
      <w:pPr>
        <w:spacing w:line="171" w:lineRule="exact"/>
        <w:sectPr>
          <w:pgSz w:w="11900" w:h="16830"/>
          <w:pgMar w:top="1440" w:right="1080" w:bottom="1440" w:left="1080" w:header="0" w:footer="0" w:gutter="0"/>
          <w:pgNumType w:fmt="decimal"/>
          <w:cols w:space="720" w:num="1"/>
        </w:sectPr>
      </w:pPr>
    </w:p>
    <w:p>
      <w:pPr>
        <w:spacing w:line="241" w:lineRule="auto"/>
        <w:rPr>
          <w:rFonts w:ascii="Arial"/>
          <w:sz w:val="21"/>
        </w:rPr>
      </w:pPr>
    </w:p>
    <w:p>
      <w:pPr>
        <w:spacing w:line="242" w:lineRule="auto"/>
        <w:rPr>
          <w:rFonts w:ascii="Arial"/>
          <w:sz w:val="21"/>
        </w:rPr>
      </w:pPr>
    </w:p>
    <w:p>
      <w:pPr>
        <w:pStyle w:val="10"/>
        <w:spacing w:before="89" w:line="222" w:lineRule="auto"/>
        <w:rPr>
          <w:spacing w:val="21"/>
          <w:sz w:val="27"/>
          <w:szCs w:val="27"/>
        </w:rPr>
      </w:pPr>
      <w:r>
        <w:rPr>
          <w:spacing w:val="21"/>
          <w:sz w:val="27"/>
          <w:szCs w:val="27"/>
        </w:rPr>
        <w:t>委托人(盖章):</w:t>
      </w:r>
    </w:p>
    <w:p>
      <w:pPr>
        <w:pStyle w:val="10"/>
        <w:spacing w:before="89" w:line="222" w:lineRule="auto"/>
        <w:rPr>
          <w:spacing w:val="21"/>
          <w:sz w:val="27"/>
          <w:szCs w:val="27"/>
        </w:rPr>
      </w:pPr>
    </w:p>
    <w:p>
      <w:pPr>
        <w:pStyle w:val="10"/>
        <w:spacing w:before="76"/>
        <w:rPr>
          <w:spacing w:val="14"/>
          <w:sz w:val="27"/>
          <w:szCs w:val="27"/>
        </w:rPr>
      </w:pPr>
      <w:r>
        <w:rPr>
          <w:spacing w:val="14"/>
          <w:sz w:val="27"/>
          <w:szCs w:val="27"/>
        </w:rPr>
        <w:t>法定代表人(签字或盖章):</w:t>
      </w:r>
    </w:p>
    <w:p>
      <w:pPr>
        <w:pStyle w:val="10"/>
        <w:spacing w:before="76"/>
        <w:rPr>
          <w:spacing w:val="14"/>
          <w:sz w:val="27"/>
          <w:szCs w:val="27"/>
        </w:rPr>
      </w:pPr>
    </w:p>
    <w:p>
      <w:pPr>
        <w:pStyle w:val="10"/>
        <w:spacing w:line="216" w:lineRule="auto"/>
        <w:rPr>
          <w:sz w:val="27"/>
          <w:szCs w:val="27"/>
        </w:rPr>
      </w:pPr>
      <w:r>
        <w:rPr>
          <w:spacing w:val="-5"/>
          <w:sz w:val="27"/>
          <w:szCs w:val="27"/>
        </w:rPr>
        <w:t>单位地址：</w:t>
      </w:r>
    </w:p>
    <w:p>
      <w:pPr>
        <w:spacing w:line="259" w:lineRule="auto"/>
        <w:rPr>
          <w:rFonts w:ascii="Arial"/>
          <w:sz w:val="21"/>
        </w:rPr>
      </w:pPr>
    </w:p>
    <w:p>
      <w:pPr>
        <w:spacing w:line="259" w:lineRule="auto"/>
        <w:rPr>
          <w:rFonts w:ascii="Arial"/>
          <w:sz w:val="21"/>
        </w:rPr>
      </w:pPr>
    </w:p>
    <w:p>
      <w:pPr>
        <w:pStyle w:val="10"/>
        <w:spacing w:line="185" w:lineRule="auto"/>
        <w:rPr>
          <w:sz w:val="27"/>
          <w:szCs w:val="27"/>
        </w:rPr>
      </w:pPr>
    </w:p>
    <w:p>
      <w:pPr>
        <w:spacing w:line="14" w:lineRule="auto"/>
        <w:rPr>
          <w:rFonts w:ascii="Arial"/>
          <w:sz w:val="2"/>
        </w:rPr>
      </w:pPr>
      <w:r>
        <w:rPr>
          <w:rFonts w:ascii="Arial" w:hAnsi="Arial" w:eastAsia="Arial" w:cs="Arial"/>
          <w:sz w:val="2"/>
          <w:szCs w:val="2"/>
        </w:rPr>
        <w:br w:type="column"/>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10"/>
        <w:spacing w:before="89" w:line="222" w:lineRule="auto"/>
        <w:ind w:left="220"/>
        <w:rPr>
          <w:sz w:val="27"/>
          <w:szCs w:val="27"/>
        </w:rPr>
        <w:sectPr>
          <w:type w:val="continuous"/>
          <w:pgSz w:w="11900" w:h="16830"/>
          <w:pgMar w:top="1440" w:right="1080" w:bottom="1440" w:left="1080" w:header="0" w:footer="0" w:gutter="0"/>
          <w:pgNumType w:fmt="decimal"/>
          <w:cols w:equalWidth="0" w:num="2">
            <w:col w:w="5780" w:space="100"/>
            <w:col w:w="3861"/>
          </w:cols>
        </w:sectPr>
      </w:pPr>
      <w: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-464185</wp:posOffset>
                </wp:positionV>
                <wp:extent cx="1249680" cy="2324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49680" cy="232410"/>
                        </a:xfrm>
                        <a:prstGeom prst="rect">
                          <a:avLst/>
                        </a:prstGeom>
                        <a:noFill/>
                        <a:ln>
                          <a:noFill/>
                        </a:ln>
                      </wps:spPr>
                      <wps:txbx>
                        <w:txbxContent>
                          <w:p>
                            <w:pPr>
                              <w:pStyle w:val="10"/>
                              <w:spacing w:before="20" w:line="222" w:lineRule="auto"/>
                              <w:ind w:left="20"/>
                              <w:rPr>
                                <w:sz w:val="27"/>
                                <w:szCs w:val="27"/>
                              </w:rPr>
                            </w:pPr>
                            <w:r>
                              <w:rPr>
                                <w:spacing w:val="21"/>
                                <w:sz w:val="27"/>
                                <w:szCs w:val="27"/>
                              </w:rPr>
                              <w:t>受托人(盖章):</w:t>
                            </w:r>
                          </w:p>
                        </w:txbxContent>
                      </wps:txbx>
                      <wps:bodyPr lIns="0" tIns="0" rIns="0" bIns="0" upright="1"/>
                    </wps:wsp>
                  </a:graphicData>
                </a:graphic>
              </wp:anchor>
            </w:drawing>
          </mc:Choice>
          <mc:Fallback>
            <w:pict>
              <v:shape id="_x0000_s1026" o:spid="_x0000_s1026" o:spt="202" type="#_x0000_t202" style="position:absolute;left:0pt;margin-left:14.95pt;margin-top:-36.55pt;height:18.3pt;width:98.4pt;z-index:251659264;mso-width-relative:page;mso-height-relative:page;" filled="f" stroked="f" coordsize="21600,21600" o:gfxdata="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KnsJ9oAAAAKAQAADwAAAAAAAAABACAAAAAiAAAAZHJzL2Rvd25yZXYueG1sUEsB&#10;AhQAFAAAAAgAh07iQPb2hJ+6AQAAcgMAAA4AAAAAAAAAAQAgAAAAKQEAAGRycy9lMm9Eb2MueG1s&#10;UEsFBgAAAAAGAAYAWQEAAFUFAAAAAA==&#10;">
                <v:fill on="f" focussize="0,0"/>
                <v:stroke on="f"/>
                <v:imagedata o:title=""/>
                <o:lock v:ext="edit" aspectratio="f"/>
                <v:textbox inset="0mm,0mm,0mm,0mm">
                  <w:txbxContent>
                    <w:p>
                      <w:pPr>
                        <w:pStyle w:val="10"/>
                        <w:spacing w:before="20" w:line="222" w:lineRule="auto"/>
                        <w:ind w:left="20"/>
                        <w:rPr>
                          <w:sz w:val="27"/>
                          <w:szCs w:val="27"/>
                        </w:rPr>
                      </w:pPr>
                      <w:r>
                        <w:rPr>
                          <w:spacing w:val="21"/>
                          <w:sz w:val="27"/>
                          <w:szCs w:val="27"/>
                        </w:rPr>
                        <w:t>受托人(盖章):</w:t>
                      </w:r>
                    </w:p>
                  </w:txbxContent>
                </v:textbox>
              </v:shape>
            </w:pict>
          </mc:Fallback>
        </mc:AlternateContent>
      </w:r>
      <w:r>
        <w:rPr>
          <w:spacing w:val="17"/>
          <w:sz w:val="27"/>
          <w:szCs w:val="27"/>
        </w:rPr>
        <w:t>法定代表人(签字或盖章):</w:t>
      </w:r>
    </w:p>
    <w:p>
      <w:pPr>
        <w:pStyle w:val="10"/>
        <w:spacing w:before="88" w:line="189" w:lineRule="auto"/>
        <w:rPr>
          <w:sz w:val="27"/>
          <w:szCs w:val="27"/>
        </w:rPr>
        <w:sectPr>
          <w:type w:val="continuous"/>
          <w:pgSz w:w="11900" w:h="16830"/>
          <w:pgMar w:top="1440" w:right="1080" w:bottom="1440" w:left="1080" w:header="0" w:footer="0" w:gutter="0"/>
          <w:pgNumType w:fmt="decimal"/>
          <w:cols w:space="720" w:num="1"/>
        </w:sectPr>
      </w:pPr>
    </w:p>
    <w:p>
      <w:pPr>
        <w:spacing w:line="444" w:lineRule="auto"/>
        <w:rPr>
          <w:rFonts w:ascii="Arial"/>
          <w:sz w:val="21"/>
        </w:rPr>
      </w:pPr>
    </w:p>
    <w:p>
      <w:pPr>
        <w:pStyle w:val="10"/>
        <w:spacing w:before="88" w:line="222" w:lineRule="auto"/>
        <w:ind w:left="2233"/>
        <w:rPr>
          <w:sz w:val="27"/>
          <w:szCs w:val="27"/>
        </w:rPr>
      </w:pPr>
      <w:r>
        <w:rPr>
          <w:b/>
          <w:bCs/>
          <w:spacing w:val="5"/>
          <w:sz w:val="27"/>
          <w:szCs w:val="27"/>
        </w:rPr>
        <w:t>第二部分</w:t>
      </w:r>
      <w:r>
        <w:rPr>
          <w:spacing w:val="5"/>
          <w:sz w:val="27"/>
          <w:szCs w:val="27"/>
        </w:rPr>
        <w:t xml:space="preserve">  </w:t>
      </w:r>
      <w:r>
        <w:rPr>
          <w:b/>
          <w:bCs/>
          <w:spacing w:val="5"/>
          <w:sz w:val="27"/>
          <w:szCs w:val="27"/>
        </w:rPr>
        <w:t>建设工程造价咨询合同标准条件</w:t>
      </w:r>
    </w:p>
    <w:p>
      <w:pPr>
        <w:pStyle w:val="10"/>
        <w:spacing w:before="245" w:line="222" w:lineRule="auto"/>
        <w:ind w:left="2803"/>
        <w:rPr>
          <w:sz w:val="27"/>
          <w:szCs w:val="27"/>
        </w:rPr>
      </w:pPr>
      <w:r>
        <w:rPr>
          <w:b/>
          <w:bCs/>
          <w:spacing w:val="3"/>
          <w:sz w:val="27"/>
          <w:szCs w:val="27"/>
        </w:rPr>
        <w:t>词语定义、适用语言和法律、法规</w:t>
      </w:r>
    </w:p>
    <w:p>
      <w:pPr>
        <w:pStyle w:val="10"/>
        <w:spacing w:before="119" w:line="222" w:lineRule="auto"/>
        <w:ind w:left="979"/>
        <w:rPr>
          <w:sz w:val="27"/>
          <w:szCs w:val="27"/>
        </w:rPr>
      </w:pPr>
      <w:r>
        <w:rPr>
          <w:spacing w:val="7"/>
          <w:sz w:val="27"/>
          <w:szCs w:val="27"/>
        </w:rPr>
        <w:t>第一条</w:t>
      </w:r>
      <w:r>
        <w:rPr>
          <w:spacing w:val="125"/>
          <w:sz w:val="27"/>
          <w:szCs w:val="27"/>
        </w:rPr>
        <w:t xml:space="preserve"> </w:t>
      </w:r>
      <w:r>
        <w:rPr>
          <w:spacing w:val="7"/>
          <w:sz w:val="27"/>
          <w:szCs w:val="27"/>
        </w:rPr>
        <w:t>下列名词和用语，除上下文另有规定外具有</w:t>
      </w:r>
      <w:r>
        <w:rPr>
          <w:spacing w:val="6"/>
          <w:sz w:val="27"/>
          <w:szCs w:val="27"/>
        </w:rPr>
        <w:t>如下含义。</w:t>
      </w:r>
    </w:p>
    <w:p>
      <w:pPr>
        <w:pStyle w:val="10"/>
        <w:spacing w:before="63" w:line="251" w:lineRule="auto"/>
        <w:ind w:left="429" w:right="146" w:firstLine="570"/>
        <w:rPr>
          <w:sz w:val="27"/>
          <w:szCs w:val="27"/>
        </w:rPr>
      </w:pPr>
      <w:r>
        <w:rPr>
          <w:spacing w:val="8"/>
          <w:sz w:val="27"/>
          <w:szCs w:val="27"/>
        </w:rPr>
        <w:t>1、"委托人"是指委托建设工程造价咨询业务和聘用工程造价咨询单</w:t>
      </w:r>
      <w:r>
        <w:rPr>
          <w:spacing w:val="14"/>
          <w:sz w:val="27"/>
          <w:szCs w:val="27"/>
        </w:rPr>
        <w:t xml:space="preserve"> </w:t>
      </w:r>
      <w:r>
        <w:rPr>
          <w:spacing w:val="4"/>
          <w:sz w:val="27"/>
          <w:szCs w:val="27"/>
        </w:rPr>
        <w:t>位的一方，以及其合法继承人。</w:t>
      </w:r>
    </w:p>
    <w:p>
      <w:pPr>
        <w:pStyle w:val="10"/>
        <w:spacing w:before="78" w:line="242" w:lineRule="auto"/>
        <w:ind w:left="429" w:right="108" w:firstLine="570"/>
        <w:rPr>
          <w:sz w:val="27"/>
          <w:szCs w:val="27"/>
        </w:rPr>
      </w:pPr>
      <w:r>
        <w:rPr>
          <w:spacing w:val="10"/>
          <w:sz w:val="27"/>
          <w:szCs w:val="27"/>
        </w:rPr>
        <w:t>2、"咨询人"是指承担建设工程造价咨询业务</w:t>
      </w:r>
      <w:r>
        <w:rPr>
          <w:spacing w:val="9"/>
          <w:sz w:val="27"/>
          <w:szCs w:val="27"/>
        </w:rPr>
        <w:t>和工程造价咨询责任的</w:t>
      </w:r>
      <w:r>
        <w:rPr>
          <w:sz w:val="27"/>
          <w:szCs w:val="27"/>
        </w:rPr>
        <w:t xml:space="preserve"> </w:t>
      </w:r>
      <w:r>
        <w:rPr>
          <w:spacing w:val="2"/>
          <w:sz w:val="27"/>
          <w:szCs w:val="27"/>
        </w:rPr>
        <w:t>一方，以及其合法继承人。</w:t>
      </w:r>
    </w:p>
    <w:p>
      <w:pPr>
        <w:pStyle w:val="10"/>
        <w:spacing w:before="99" w:line="245" w:lineRule="auto"/>
        <w:ind w:left="999"/>
        <w:rPr>
          <w:spacing w:val="4"/>
          <w:sz w:val="27"/>
          <w:szCs w:val="27"/>
        </w:rPr>
      </w:pPr>
      <w:r>
        <w:rPr>
          <w:spacing w:val="4"/>
          <w:sz w:val="27"/>
          <w:szCs w:val="27"/>
        </w:rPr>
        <w:t>3、"第三人"是指除委托人、咨询人以外与本咨询业务有关的当事人。</w:t>
      </w:r>
    </w:p>
    <w:p>
      <w:pPr>
        <w:pStyle w:val="10"/>
        <w:spacing w:before="99" w:line="245" w:lineRule="auto"/>
        <w:ind w:left="36" w:leftChars="15" w:firstLine="922" w:firstLineChars="316"/>
        <w:rPr>
          <w:sz w:val="27"/>
          <w:szCs w:val="27"/>
        </w:rPr>
      </w:pPr>
      <w:r>
        <w:rPr>
          <w:spacing w:val="11"/>
          <w:sz w:val="27"/>
          <w:szCs w:val="27"/>
        </w:rPr>
        <w:t xml:space="preserve"> </w:t>
      </w:r>
      <w:r>
        <w:rPr>
          <w:spacing w:val="7"/>
          <w:sz w:val="27"/>
          <w:szCs w:val="27"/>
        </w:rPr>
        <w:t>4、"日"是指任何一天零时至第二天零时的时间段。</w:t>
      </w:r>
    </w:p>
    <w:p>
      <w:pPr>
        <w:pStyle w:val="10"/>
        <w:spacing w:before="66" w:line="256" w:lineRule="auto"/>
        <w:ind w:left="429" w:right="138" w:firstLine="570"/>
        <w:jc w:val="both"/>
        <w:rPr>
          <w:sz w:val="27"/>
          <w:szCs w:val="27"/>
        </w:rPr>
      </w:pPr>
      <w:r>
        <w:rPr>
          <w:spacing w:val="4"/>
          <w:sz w:val="27"/>
          <w:szCs w:val="27"/>
        </w:rPr>
        <w:t>第二条  建设工程造价咨询合同适用的是中国的法律、法规，以及专</w:t>
      </w:r>
      <w:r>
        <w:rPr>
          <w:spacing w:val="5"/>
          <w:sz w:val="27"/>
          <w:szCs w:val="27"/>
        </w:rPr>
        <w:t>用条件中议定的部门规章、工程造价有关计价办法和规定或项目所在地的</w:t>
      </w:r>
      <w:r>
        <w:rPr>
          <w:spacing w:val="2"/>
          <w:sz w:val="27"/>
          <w:szCs w:val="27"/>
        </w:rPr>
        <w:t>地方法规、地方规章。</w:t>
      </w:r>
    </w:p>
    <w:p>
      <w:pPr>
        <w:pStyle w:val="10"/>
        <w:spacing w:before="66" w:line="258" w:lineRule="auto"/>
        <w:ind w:left="429" w:right="114" w:firstLine="570"/>
        <w:rPr>
          <w:sz w:val="27"/>
          <w:szCs w:val="27"/>
        </w:rPr>
      </w:pPr>
      <w:r>
        <w:rPr>
          <w:spacing w:val="5"/>
          <w:sz w:val="27"/>
          <w:szCs w:val="27"/>
        </w:rPr>
        <w:t>第三条</w:t>
      </w:r>
      <w:r>
        <w:rPr>
          <w:spacing w:val="7"/>
          <w:sz w:val="27"/>
          <w:szCs w:val="27"/>
        </w:rPr>
        <w:t xml:space="preserve">  </w:t>
      </w:r>
      <w:r>
        <w:rPr>
          <w:spacing w:val="5"/>
          <w:sz w:val="27"/>
          <w:szCs w:val="27"/>
        </w:rPr>
        <w:t>建设工程造价咨询合同的书写、解释和说明，以汉语为主导</w:t>
      </w:r>
      <w:r>
        <w:rPr>
          <w:spacing w:val="7"/>
          <w:sz w:val="27"/>
          <w:szCs w:val="27"/>
        </w:rPr>
        <w:t>语言。当不同语言文本发生不同解释时，以汉语合同文本</w:t>
      </w:r>
      <w:r>
        <w:rPr>
          <w:spacing w:val="6"/>
          <w:sz w:val="27"/>
          <w:szCs w:val="27"/>
        </w:rPr>
        <w:t>为准。</w:t>
      </w:r>
    </w:p>
    <w:p>
      <w:pPr>
        <w:pStyle w:val="10"/>
        <w:spacing w:before="232" w:line="223" w:lineRule="auto"/>
        <w:ind w:left="4073"/>
        <w:rPr>
          <w:sz w:val="27"/>
          <w:szCs w:val="27"/>
        </w:rPr>
      </w:pPr>
      <w:r>
        <w:rPr>
          <w:b/>
          <w:bCs/>
          <w:spacing w:val="-2"/>
          <w:sz w:val="27"/>
          <w:szCs w:val="27"/>
        </w:rPr>
        <w:t>咨询人的义务</w:t>
      </w:r>
    </w:p>
    <w:p>
      <w:pPr>
        <w:pStyle w:val="10"/>
        <w:spacing w:before="92" w:line="256" w:lineRule="auto"/>
        <w:ind w:left="429" w:right="79" w:firstLine="570"/>
        <w:rPr>
          <w:sz w:val="27"/>
          <w:szCs w:val="27"/>
        </w:rPr>
      </w:pPr>
      <w:r>
        <w:rPr>
          <w:spacing w:val="4"/>
          <w:sz w:val="27"/>
          <w:szCs w:val="27"/>
        </w:rPr>
        <w:t>第四条  向委托人提供与工程造价咨询业务有关的资料，包括工程造</w:t>
      </w:r>
      <w:r>
        <w:rPr>
          <w:spacing w:val="7"/>
          <w:sz w:val="27"/>
          <w:szCs w:val="27"/>
        </w:rPr>
        <w:t>价咨询的资质证书及承担本合同业务的专业人员名单、咨询工作计划等，</w:t>
      </w:r>
      <w:r>
        <w:rPr>
          <w:spacing w:val="6"/>
          <w:sz w:val="27"/>
          <w:szCs w:val="27"/>
        </w:rPr>
        <w:t>并按合同专用条件中约定的范围实施咨询业务。</w:t>
      </w:r>
    </w:p>
    <w:p>
      <w:pPr>
        <w:pStyle w:val="10"/>
        <w:spacing w:before="66" w:line="253" w:lineRule="auto"/>
        <w:ind w:left="429" w:right="147" w:firstLine="570"/>
        <w:rPr>
          <w:sz w:val="27"/>
          <w:szCs w:val="27"/>
        </w:rPr>
      </w:pPr>
      <w:r>
        <w:rPr>
          <w:spacing w:val="4"/>
          <w:sz w:val="27"/>
          <w:szCs w:val="27"/>
        </w:rPr>
        <w:t>第五条</w:t>
      </w:r>
      <w:r>
        <w:rPr>
          <w:spacing w:val="5"/>
          <w:sz w:val="27"/>
          <w:szCs w:val="27"/>
        </w:rPr>
        <w:t xml:space="preserve">  </w:t>
      </w:r>
      <w:r>
        <w:rPr>
          <w:spacing w:val="4"/>
          <w:sz w:val="27"/>
          <w:szCs w:val="27"/>
        </w:rPr>
        <w:t>咨询人在履行本合同期间，向委托人提供的服务包括正常服</w:t>
      </w:r>
      <w:r>
        <w:rPr>
          <w:sz w:val="27"/>
          <w:szCs w:val="27"/>
        </w:rPr>
        <w:t xml:space="preserve"> </w:t>
      </w:r>
      <w:r>
        <w:rPr>
          <w:spacing w:val="2"/>
          <w:sz w:val="27"/>
          <w:szCs w:val="27"/>
        </w:rPr>
        <w:t>务、附加服务和额外服务。</w:t>
      </w:r>
    </w:p>
    <w:p>
      <w:pPr>
        <w:pStyle w:val="10"/>
        <w:spacing w:before="81" w:line="219" w:lineRule="auto"/>
        <w:ind w:left="999"/>
        <w:rPr>
          <w:sz w:val="27"/>
          <w:szCs w:val="27"/>
        </w:rPr>
      </w:pPr>
      <w:r>
        <w:rPr>
          <w:spacing w:val="6"/>
          <w:sz w:val="27"/>
          <w:szCs w:val="27"/>
        </w:rPr>
        <w:t>1、"正常服务"是指三方在专用条件中约定的工程造价咨询工作；</w:t>
      </w:r>
    </w:p>
    <w:p>
      <w:pPr>
        <w:pStyle w:val="10"/>
        <w:spacing w:before="61" w:line="249" w:lineRule="auto"/>
        <w:ind w:left="429" w:right="87" w:firstLine="570"/>
        <w:rPr>
          <w:sz w:val="27"/>
          <w:szCs w:val="27"/>
        </w:rPr>
      </w:pPr>
      <w:r>
        <w:rPr>
          <w:spacing w:val="10"/>
          <w:sz w:val="27"/>
          <w:szCs w:val="27"/>
        </w:rPr>
        <w:t>2、"附加服务"是指在"正常服务"以外，经三方书面协议确定的附加</w:t>
      </w:r>
      <w:r>
        <w:rPr>
          <w:spacing w:val="-13"/>
          <w:sz w:val="27"/>
          <w:szCs w:val="27"/>
        </w:rPr>
        <w:t>服务；</w:t>
      </w:r>
    </w:p>
    <w:p>
      <w:pPr>
        <w:pStyle w:val="10"/>
        <w:spacing w:before="102" w:line="253" w:lineRule="auto"/>
        <w:ind w:left="429" w:right="98" w:firstLine="560"/>
        <w:rPr>
          <w:sz w:val="27"/>
          <w:szCs w:val="27"/>
        </w:rPr>
      </w:pPr>
      <w:r>
        <w:rPr>
          <w:spacing w:val="14"/>
          <w:sz w:val="27"/>
          <w:szCs w:val="27"/>
        </w:rPr>
        <w:t>3、"额外服务"是指不属于"正常服务"和"附加服务"</w:t>
      </w:r>
      <w:r>
        <w:rPr>
          <w:spacing w:val="13"/>
          <w:sz w:val="27"/>
          <w:szCs w:val="27"/>
        </w:rPr>
        <w:t>,但根据合同标</w:t>
      </w:r>
      <w:r>
        <w:rPr>
          <w:spacing w:val="6"/>
          <w:sz w:val="27"/>
          <w:szCs w:val="27"/>
        </w:rPr>
        <w:t>准条件第十三条、第二十条和二十二条的规定，咨询人应增加的额外工作</w:t>
      </w:r>
      <w:r>
        <w:rPr>
          <w:spacing w:val="-7"/>
          <w:sz w:val="27"/>
          <w:szCs w:val="27"/>
        </w:rPr>
        <w:t>量。</w:t>
      </w:r>
    </w:p>
    <w:p>
      <w:pPr>
        <w:pStyle w:val="10"/>
        <w:spacing w:before="69" w:line="247" w:lineRule="auto"/>
        <w:ind w:left="429" w:right="116" w:firstLine="570"/>
        <w:rPr>
          <w:sz w:val="27"/>
          <w:szCs w:val="27"/>
        </w:rPr>
      </w:pPr>
      <w:r>
        <w:rPr>
          <w:spacing w:val="5"/>
          <w:sz w:val="27"/>
          <w:szCs w:val="27"/>
        </w:rPr>
        <w:t>第六条</w:t>
      </w:r>
      <w:r>
        <w:rPr>
          <w:spacing w:val="6"/>
          <w:sz w:val="27"/>
          <w:szCs w:val="27"/>
        </w:rPr>
        <w:t xml:space="preserve">  </w:t>
      </w:r>
      <w:r>
        <w:rPr>
          <w:spacing w:val="5"/>
          <w:sz w:val="27"/>
          <w:szCs w:val="27"/>
        </w:rPr>
        <w:t>在履行合同期间或合同规定期限内，不得泄露与本合同规定</w:t>
      </w:r>
      <w:r>
        <w:rPr>
          <w:spacing w:val="1"/>
          <w:sz w:val="27"/>
          <w:szCs w:val="27"/>
        </w:rPr>
        <w:t xml:space="preserve"> </w:t>
      </w:r>
      <w:r>
        <w:rPr>
          <w:spacing w:val="2"/>
          <w:sz w:val="27"/>
          <w:szCs w:val="27"/>
        </w:rPr>
        <w:t>业务活动有关的保密资料。</w:t>
      </w:r>
    </w:p>
    <w:p>
      <w:pPr>
        <w:pStyle w:val="10"/>
        <w:spacing w:before="258" w:line="223" w:lineRule="auto"/>
        <w:ind w:left="4063"/>
        <w:rPr>
          <w:sz w:val="27"/>
          <w:szCs w:val="27"/>
        </w:rPr>
      </w:pPr>
      <w:r>
        <w:rPr>
          <w:b/>
          <w:bCs/>
          <w:sz w:val="27"/>
          <w:szCs w:val="27"/>
        </w:rPr>
        <w:t>委托人的义务</w:t>
      </w:r>
    </w:p>
    <w:p>
      <w:pPr>
        <w:pStyle w:val="10"/>
        <w:spacing w:before="107" w:line="249" w:lineRule="auto"/>
        <w:ind w:left="429" w:right="108" w:firstLine="570"/>
        <w:rPr>
          <w:sz w:val="27"/>
          <w:szCs w:val="27"/>
        </w:rPr>
      </w:pPr>
      <w:r>
        <w:rPr>
          <w:spacing w:val="14"/>
          <w:sz w:val="27"/>
          <w:szCs w:val="27"/>
        </w:rPr>
        <w:t>第七条  委托人应负责与本建设工程造价咨询业务有关的第三人的</w:t>
      </w:r>
      <w:r>
        <w:rPr>
          <w:spacing w:val="15"/>
          <w:sz w:val="27"/>
          <w:szCs w:val="27"/>
        </w:rPr>
        <w:t xml:space="preserve"> </w:t>
      </w:r>
      <w:r>
        <w:rPr>
          <w:spacing w:val="5"/>
          <w:sz w:val="27"/>
          <w:szCs w:val="27"/>
        </w:rPr>
        <w:t>协调，为咨询人工作提供外部条件。</w:t>
      </w:r>
    </w:p>
    <w:p>
      <w:pPr>
        <w:spacing w:line="249" w:lineRule="auto"/>
        <w:rPr>
          <w:sz w:val="27"/>
          <w:szCs w:val="27"/>
        </w:rPr>
        <w:sectPr>
          <w:pgSz w:w="11900" w:h="16830"/>
          <w:pgMar w:top="1440" w:right="1080" w:bottom="1440" w:left="1080" w:header="0" w:footer="0" w:gutter="0"/>
          <w:pgNumType w:fmt="decimal"/>
          <w:cols w:space="720" w:num="1"/>
        </w:sectPr>
      </w:pPr>
    </w:p>
    <w:p>
      <w:pPr>
        <w:spacing w:line="284" w:lineRule="auto"/>
        <w:rPr>
          <w:rFonts w:ascii="Arial"/>
          <w:sz w:val="21"/>
        </w:rPr>
      </w:pPr>
    </w:p>
    <w:p>
      <w:pPr>
        <w:pStyle w:val="10"/>
        <w:spacing w:before="88" w:line="254" w:lineRule="auto"/>
        <w:ind w:right="255" w:firstLine="549"/>
        <w:rPr>
          <w:sz w:val="27"/>
          <w:szCs w:val="27"/>
        </w:rPr>
      </w:pPr>
      <w:r>
        <w:rPr>
          <w:spacing w:val="4"/>
          <w:sz w:val="27"/>
          <w:szCs w:val="27"/>
        </w:rPr>
        <w:t>第八条  委托人应当在约定的时间内，免费向咨询人提供与本项目咨</w:t>
      </w:r>
      <w:r>
        <w:rPr>
          <w:spacing w:val="2"/>
          <w:sz w:val="27"/>
          <w:szCs w:val="27"/>
        </w:rPr>
        <w:t>询业务有关的资料。</w:t>
      </w:r>
    </w:p>
    <w:p>
      <w:pPr>
        <w:pStyle w:val="10"/>
        <w:spacing w:before="54" w:line="260" w:lineRule="auto"/>
        <w:ind w:right="235" w:firstLine="549"/>
        <w:rPr>
          <w:sz w:val="27"/>
          <w:szCs w:val="27"/>
        </w:rPr>
      </w:pPr>
      <w:r>
        <w:rPr>
          <w:spacing w:val="14"/>
          <w:sz w:val="27"/>
          <w:szCs w:val="27"/>
        </w:rPr>
        <w:t>第九条  委托人应当在约定的时间内就咨询人书面提交并要求做出</w:t>
      </w:r>
      <w:r>
        <w:rPr>
          <w:spacing w:val="5"/>
          <w:sz w:val="27"/>
          <w:szCs w:val="27"/>
        </w:rPr>
        <w:t>答复的事宜做出书面答复。咨询人要求第三人提供有关资料时，委</w:t>
      </w:r>
      <w:r>
        <w:rPr>
          <w:spacing w:val="4"/>
          <w:sz w:val="27"/>
          <w:szCs w:val="27"/>
        </w:rPr>
        <w:t>托人应</w:t>
      </w:r>
      <w:r>
        <w:rPr>
          <w:spacing w:val="1"/>
          <w:sz w:val="27"/>
          <w:szCs w:val="27"/>
        </w:rPr>
        <w:t>负责转达及资料转送。</w:t>
      </w:r>
    </w:p>
    <w:p>
      <w:pPr>
        <w:pStyle w:val="10"/>
        <w:spacing w:before="75" w:line="222" w:lineRule="auto"/>
        <w:jc w:val="right"/>
        <w:rPr>
          <w:sz w:val="27"/>
          <w:szCs w:val="27"/>
        </w:rPr>
      </w:pPr>
      <w:r>
        <w:rPr>
          <w:spacing w:val="4"/>
          <w:sz w:val="27"/>
          <w:szCs w:val="27"/>
        </w:rPr>
        <w:t>第十条  委托人应当授权胜任本咨询业务的代表，负责与咨</w:t>
      </w:r>
      <w:r>
        <w:rPr>
          <w:spacing w:val="3"/>
          <w:sz w:val="27"/>
          <w:szCs w:val="27"/>
        </w:rPr>
        <w:t>询人联系。</w:t>
      </w:r>
    </w:p>
    <w:p>
      <w:pPr>
        <w:pStyle w:val="10"/>
        <w:spacing w:before="181" w:line="222" w:lineRule="auto"/>
        <w:ind w:left="3603"/>
        <w:rPr>
          <w:sz w:val="27"/>
          <w:szCs w:val="27"/>
        </w:rPr>
      </w:pPr>
      <w:r>
        <w:rPr>
          <w:b/>
          <w:bCs/>
          <w:spacing w:val="2"/>
          <w:sz w:val="27"/>
          <w:szCs w:val="27"/>
        </w:rPr>
        <w:t>咨询人的权利</w:t>
      </w:r>
    </w:p>
    <w:p>
      <w:pPr>
        <w:pStyle w:val="10"/>
        <w:spacing w:before="74" w:line="260" w:lineRule="auto"/>
        <w:ind w:right="251" w:firstLine="549"/>
        <w:rPr>
          <w:sz w:val="27"/>
          <w:szCs w:val="27"/>
        </w:rPr>
      </w:pPr>
      <w:r>
        <w:rPr>
          <w:spacing w:val="5"/>
          <w:sz w:val="27"/>
          <w:szCs w:val="27"/>
        </w:rPr>
        <w:t>第十一条</w:t>
      </w:r>
      <w:r>
        <w:rPr>
          <w:sz w:val="27"/>
          <w:szCs w:val="27"/>
        </w:rPr>
        <w:t xml:space="preserve">  </w:t>
      </w:r>
      <w:r>
        <w:rPr>
          <w:spacing w:val="5"/>
          <w:sz w:val="27"/>
          <w:szCs w:val="27"/>
        </w:rPr>
        <w:t>委托人在委托的建设工程造价咨询业务范围内，授</w:t>
      </w:r>
      <w:r>
        <w:rPr>
          <w:spacing w:val="4"/>
          <w:sz w:val="27"/>
          <w:szCs w:val="27"/>
        </w:rPr>
        <w:t>予咨询</w:t>
      </w:r>
      <w:r>
        <w:rPr>
          <w:spacing w:val="-3"/>
          <w:sz w:val="27"/>
          <w:szCs w:val="27"/>
        </w:rPr>
        <w:t>人以下权利：</w:t>
      </w:r>
    </w:p>
    <w:p>
      <w:pPr>
        <w:pStyle w:val="10"/>
        <w:spacing w:before="61" w:line="256" w:lineRule="auto"/>
        <w:ind w:right="258" w:firstLine="549"/>
        <w:rPr>
          <w:sz w:val="27"/>
          <w:szCs w:val="27"/>
        </w:rPr>
      </w:pPr>
      <w:r>
        <w:rPr>
          <w:spacing w:val="6"/>
          <w:sz w:val="27"/>
          <w:szCs w:val="27"/>
        </w:rPr>
        <w:t>1、</w:t>
      </w:r>
      <w:r>
        <w:rPr>
          <w:spacing w:val="-45"/>
          <w:sz w:val="27"/>
          <w:szCs w:val="27"/>
        </w:rPr>
        <w:t xml:space="preserve"> </w:t>
      </w:r>
      <w:r>
        <w:rPr>
          <w:spacing w:val="6"/>
          <w:sz w:val="27"/>
          <w:szCs w:val="27"/>
        </w:rPr>
        <w:t>咨询人在咨询过程中，如委托人提供的资料不明确时可向委托人</w:t>
      </w:r>
      <w:r>
        <w:rPr>
          <w:spacing w:val="-1"/>
          <w:sz w:val="27"/>
          <w:szCs w:val="27"/>
        </w:rPr>
        <w:t>提出书面报告。</w:t>
      </w:r>
    </w:p>
    <w:p>
      <w:pPr>
        <w:pStyle w:val="10"/>
        <w:spacing w:before="41" w:line="258" w:lineRule="auto"/>
        <w:ind w:right="192" w:firstLine="549"/>
        <w:rPr>
          <w:sz w:val="27"/>
          <w:szCs w:val="27"/>
        </w:rPr>
      </w:pPr>
      <w:r>
        <w:rPr>
          <w:spacing w:val="8"/>
          <w:sz w:val="27"/>
          <w:szCs w:val="27"/>
        </w:rPr>
        <w:t>2、</w:t>
      </w:r>
      <w:r>
        <w:rPr>
          <w:spacing w:val="-40"/>
          <w:sz w:val="27"/>
          <w:szCs w:val="27"/>
        </w:rPr>
        <w:t xml:space="preserve"> </w:t>
      </w:r>
      <w:r>
        <w:rPr>
          <w:spacing w:val="8"/>
          <w:sz w:val="27"/>
          <w:szCs w:val="27"/>
        </w:rPr>
        <w:t>咨询人在咨询过程中，有权对第三人提出与本咨询业务有关的问</w:t>
      </w:r>
      <w:r>
        <w:rPr>
          <w:spacing w:val="2"/>
          <w:sz w:val="27"/>
          <w:szCs w:val="27"/>
        </w:rPr>
        <w:t>题进行核对或查问。</w:t>
      </w:r>
    </w:p>
    <w:p>
      <w:pPr>
        <w:pStyle w:val="10"/>
        <w:spacing w:before="56" w:line="219" w:lineRule="auto"/>
        <w:ind w:left="549"/>
        <w:rPr>
          <w:sz w:val="27"/>
          <w:szCs w:val="27"/>
        </w:rPr>
      </w:pPr>
      <w:r>
        <w:rPr>
          <w:spacing w:val="4"/>
          <w:sz w:val="27"/>
          <w:szCs w:val="27"/>
        </w:rPr>
        <w:t>3、</w:t>
      </w:r>
      <w:r>
        <w:rPr>
          <w:spacing w:val="-42"/>
          <w:sz w:val="27"/>
          <w:szCs w:val="27"/>
        </w:rPr>
        <w:t xml:space="preserve"> </w:t>
      </w:r>
      <w:r>
        <w:rPr>
          <w:spacing w:val="4"/>
          <w:sz w:val="27"/>
          <w:szCs w:val="27"/>
        </w:rPr>
        <w:t>咨询人在咨询过程中，有到工程现场勘察的权利。</w:t>
      </w:r>
    </w:p>
    <w:p>
      <w:pPr>
        <w:pStyle w:val="10"/>
        <w:spacing w:before="179" w:line="222" w:lineRule="auto"/>
        <w:ind w:left="3603"/>
        <w:rPr>
          <w:sz w:val="27"/>
          <w:szCs w:val="27"/>
        </w:rPr>
      </w:pPr>
      <w:r>
        <w:rPr>
          <w:b/>
          <w:bCs/>
          <w:spacing w:val="2"/>
          <w:sz w:val="27"/>
          <w:szCs w:val="27"/>
        </w:rPr>
        <w:t>委托人的权利</w:t>
      </w:r>
    </w:p>
    <w:p>
      <w:pPr>
        <w:pStyle w:val="10"/>
        <w:spacing w:before="110" w:line="222" w:lineRule="auto"/>
        <w:ind w:left="549"/>
        <w:rPr>
          <w:sz w:val="27"/>
          <w:szCs w:val="27"/>
        </w:rPr>
      </w:pPr>
      <w:r>
        <w:rPr>
          <w:spacing w:val="2"/>
          <w:sz w:val="27"/>
          <w:szCs w:val="27"/>
        </w:rPr>
        <w:t>第十二条  委托人有下列权利：</w:t>
      </w:r>
    </w:p>
    <w:p>
      <w:pPr>
        <w:pStyle w:val="10"/>
        <w:spacing w:before="62" w:line="248" w:lineRule="auto"/>
        <w:ind w:left="549" w:right="1429"/>
        <w:rPr>
          <w:sz w:val="27"/>
          <w:szCs w:val="27"/>
        </w:rPr>
      </w:pPr>
      <w:r>
        <w:rPr>
          <w:spacing w:val="5"/>
          <w:sz w:val="27"/>
          <w:szCs w:val="27"/>
        </w:rPr>
        <w:t>1、</w:t>
      </w:r>
      <w:r>
        <w:rPr>
          <w:spacing w:val="-80"/>
          <w:sz w:val="27"/>
          <w:szCs w:val="27"/>
        </w:rPr>
        <w:t xml:space="preserve"> </w:t>
      </w:r>
      <w:r>
        <w:rPr>
          <w:spacing w:val="5"/>
          <w:sz w:val="27"/>
          <w:szCs w:val="27"/>
        </w:rPr>
        <w:t>委托人有权向咨询人询问工作进展情况及</w:t>
      </w:r>
      <w:r>
        <w:rPr>
          <w:spacing w:val="4"/>
          <w:sz w:val="27"/>
          <w:szCs w:val="27"/>
        </w:rPr>
        <w:t>相关的内容。</w:t>
      </w:r>
      <w:r>
        <w:rPr>
          <w:sz w:val="27"/>
          <w:szCs w:val="27"/>
        </w:rPr>
        <w:t xml:space="preserve"> </w:t>
      </w:r>
    </w:p>
    <w:p>
      <w:pPr>
        <w:pStyle w:val="10"/>
        <w:spacing w:before="62" w:line="248" w:lineRule="auto"/>
        <w:ind w:left="549" w:right="1429"/>
        <w:rPr>
          <w:sz w:val="27"/>
          <w:szCs w:val="27"/>
        </w:rPr>
      </w:pPr>
      <w:r>
        <w:rPr>
          <w:spacing w:val="4"/>
          <w:sz w:val="27"/>
          <w:szCs w:val="27"/>
        </w:rPr>
        <w:t>2、</w:t>
      </w:r>
      <w:r>
        <w:rPr>
          <w:spacing w:val="-40"/>
          <w:sz w:val="27"/>
          <w:szCs w:val="27"/>
        </w:rPr>
        <w:t xml:space="preserve"> </w:t>
      </w:r>
      <w:r>
        <w:rPr>
          <w:spacing w:val="4"/>
          <w:sz w:val="27"/>
          <w:szCs w:val="27"/>
        </w:rPr>
        <w:t>委托人有权阐述对具体问题的意见和建议。</w:t>
      </w:r>
    </w:p>
    <w:p>
      <w:pPr>
        <w:pStyle w:val="10"/>
        <w:spacing w:before="67" w:line="255" w:lineRule="auto"/>
        <w:ind w:right="213" w:firstLine="549"/>
        <w:jc w:val="both"/>
        <w:rPr>
          <w:sz w:val="27"/>
          <w:szCs w:val="27"/>
        </w:rPr>
      </w:pPr>
      <w:r>
        <w:rPr>
          <w:spacing w:val="6"/>
          <w:sz w:val="27"/>
          <w:szCs w:val="27"/>
        </w:rPr>
        <w:t>3、</w:t>
      </w:r>
      <w:r>
        <w:rPr>
          <w:spacing w:val="-20"/>
          <w:sz w:val="27"/>
          <w:szCs w:val="27"/>
        </w:rPr>
        <w:t xml:space="preserve"> </w:t>
      </w:r>
      <w:r>
        <w:rPr>
          <w:spacing w:val="6"/>
          <w:sz w:val="27"/>
          <w:szCs w:val="27"/>
        </w:rPr>
        <w:t>当委托人认定咨询专业人员不按咨询合同履行其职责，或与第三人串通给委托人造成经济损失的，委托人有权要求更换咨询专业人员</w:t>
      </w:r>
      <w:r>
        <w:rPr>
          <w:spacing w:val="5"/>
          <w:sz w:val="27"/>
          <w:szCs w:val="27"/>
        </w:rPr>
        <w:t>，直</w:t>
      </w:r>
      <w:r>
        <w:rPr>
          <w:spacing w:val="6"/>
          <w:sz w:val="27"/>
          <w:szCs w:val="27"/>
        </w:rPr>
        <w:t>至终止合同并要求咨询人承担相应的赔偿责任。</w:t>
      </w:r>
    </w:p>
    <w:p>
      <w:pPr>
        <w:pStyle w:val="10"/>
        <w:spacing w:before="188" w:line="223" w:lineRule="auto"/>
        <w:ind w:left="3603"/>
        <w:rPr>
          <w:sz w:val="27"/>
          <w:szCs w:val="27"/>
        </w:rPr>
      </w:pPr>
      <w:r>
        <w:rPr>
          <w:b/>
          <w:bCs/>
          <w:spacing w:val="-1"/>
          <w:sz w:val="27"/>
          <w:szCs w:val="27"/>
        </w:rPr>
        <w:t>咨询人的责任</w:t>
      </w:r>
    </w:p>
    <w:p>
      <w:pPr>
        <w:pStyle w:val="10"/>
        <w:spacing w:before="85" w:line="261" w:lineRule="auto"/>
        <w:ind w:right="211" w:firstLine="549"/>
        <w:rPr>
          <w:sz w:val="27"/>
          <w:szCs w:val="27"/>
        </w:rPr>
      </w:pPr>
      <w:r>
        <w:rPr>
          <w:spacing w:val="6"/>
          <w:sz w:val="27"/>
          <w:szCs w:val="27"/>
        </w:rPr>
        <w:t>第十三条</w:t>
      </w:r>
      <w:r>
        <w:rPr>
          <w:sz w:val="27"/>
          <w:szCs w:val="27"/>
        </w:rPr>
        <w:t xml:space="preserve">  </w:t>
      </w:r>
      <w:r>
        <w:rPr>
          <w:spacing w:val="6"/>
          <w:sz w:val="27"/>
          <w:szCs w:val="27"/>
        </w:rPr>
        <w:t>咨询人的责任期即建设工程造价咨询合</w:t>
      </w:r>
      <w:r>
        <w:rPr>
          <w:spacing w:val="5"/>
          <w:sz w:val="27"/>
          <w:szCs w:val="27"/>
        </w:rPr>
        <w:t>同有效期。如因非</w:t>
      </w:r>
      <w:r>
        <w:rPr>
          <w:spacing w:val="6"/>
          <w:sz w:val="27"/>
          <w:szCs w:val="27"/>
        </w:rPr>
        <w:t>咨询人的责任造成进度的推迟或延误而超过约定的日期，三方应进一步约</w:t>
      </w:r>
      <w:r>
        <w:rPr>
          <w:spacing w:val="4"/>
          <w:sz w:val="27"/>
          <w:szCs w:val="27"/>
        </w:rPr>
        <w:t>定相应延长合同有效期。</w:t>
      </w:r>
    </w:p>
    <w:p>
      <w:pPr>
        <w:pStyle w:val="10"/>
        <w:spacing w:before="57" w:line="261" w:lineRule="auto"/>
        <w:ind w:right="139" w:firstLine="549"/>
        <w:rPr>
          <w:sz w:val="27"/>
          <w:szCs w:val="27"/>
        </w:rPr>
      </w:pPr>
      <w:r>
        <w:rPr>
          <w:spacing w:val="6"/>
          <w:sz w:val="27"/>
          <w:szCs w:val="27"/>
        </w:rPr>
        <w:t>第十四条  咨询人责任期内，应当履行建设工程</w:t>
      </w:r>
      <w:r>
        <w:rPr>
          <w:spacing w:val="5"/>
          <w:sz w:val="27"/>
          <w:szCs w:val="27"/>
        </w:rPr>
        <w:t>造价咨询合同中约定</w:t>
      </w:r>
      <w:r>
        <w:rPr>
          <w:spacing w:val="8"/>
          <w:sz w:val="27"/>
          <w:szCs w:val="27"/>
        </w:rPr>
        <w:t>的义务，因咨询人的单方过失造成的经济损失，应当向委托人进行赔偿。</w:t>
      </w:r>
      <w:r>
        <w:rPr>
          <w:spacing w:val="12"/>
          <w:sz w:val="27"/>
          <w:szCs w:val="27"/>
        </w:rPr>
        <w:t>累计赔偿总额不应超过建设工程造价咨询酬金总额(除去税金)。</w:t>
      </w:r>
    </w:p>
    <w:p>
      <w:pPr>
        <w:pStyle w:val="10"/>
        <w:spacing w:before="63" w:line="254" w:lineRule="auto"/>
        <w:ind w:right="210" w:firstLine="549"/>
        <w:rPr>
          <w:sz w:val="27"/>
          <w:szCs w:val="27"/>
        </w:rPr>
      </w:pPr>
      <w:r>
        <w:rPr>
          <w:spacing w:val="15"/>
          <w:sz w:val="27"/>
          <w:szCs w:val="27"/>
        </w:rPr>
        <w:t>第十五条  咨询人对委托人或第三人所提出的问题不能及时核对或</w:t>
      </w:r>
      <w:r>
        <w:rPr>
          <w:spacing w:val="8"/>
          <w:sz w:val="27"/>
          <w:szCs w:val="27"/>
        </w:rPr>
        <w:t>答复，导致合同不能全部或部分履行，咨询人应</w:t>
      </w:r>
      <w:r>
        <w:rPr>
          <w:spacing w:val="7"/>
          <w:sz w:val="27"/>
          <w:szCs w:val="27"/>
        </w:rPr>
        <w:t>承担责任。</w:t>
      </w:r>
    </w:p>
    <w:p>
      <w:pPr>
        <w:pStyle w:val="10"/>
        <w:spacing w:before="57" w:line="254" w:lineRule="auto"/>
        <w:ind w:right="212" w:firstLine="549"/>
        <w:rPr>
          <w:sz w:val="27"/>
          <w:szCs w:val="27"/>
        </w:rPr>
      </w:pPr>
      <w:r>
        <w:rPr>
          <w:spacing w:val="6"/>
          <w:sz w:val="27"/>
          <w:szCs w:val="27"/>
        </w:rPr>
        <w:t>第十六条  咨询人向委托人提出赔偿要求不能成立时，则</w:t>
      </w:r>
      <w:r>
        <w:rPr>
          <w:spacing w:val="5"/>
          <w:sz w:val="27"/>
          <w:szCs w:val="27"/>
        </w:rPr>
        <w:t>应补偿由于</w:t>
      </w:r>
      <w:r>
        <w:rPr>
          <w:spacing w:val="8"/>
          <w:sz w:val="27"/>
          <w:szCs w:val="27"/>
        </w:rPr>
        <w:t>该赔偿或其他要求所导致委托人的各种费用的支出。</w:t>
      </w:r>
    </w:p>
    <w:p>
      <w:pPr>
        <w:spacing w:line="254" w:lineRule="auto"/>
        <w:rPr>
          <w:sz w:val="27"/>
          <w:szCs w:val="27"/>
        </w:rPr>
        <w:sectPr>
          <w:pgSz w:w="11900" w:h="16830"/>
          <w:pgMar w:top="1440" w:right="1080" w:bottom="1440" w:left="1080" w:header="0" w:footer="0" w:gutter="0"/>
          <w:pgNumType w:fmt="decimal"/>
          <w:cols w:space="720" w:num="1"/>
        </w:sectPr>
      </w:pPr>
    </w:p>
    <w:p>
      <w:pPr>
        <w:spacing w:line="242" w:lineRule="auto"/>
        <w:rPr>
          <w:rFonts w:ascii="Arial"/>
          <w:sz w:val="21"/>
        </w:rPr>
      </w:pPr>
    </w:p>
    <w:p>
      <w:pPr>
        <w:spacing w:line="242" w:lineRule="auto"/>
        <w:rPr>
          <w:rFonts w:ascii="Arial"/>
          <w:sz w:val="21"/>
        </w:rPr>
      </w:pPr>
    </w:p>
    <w:p>
      <w:pPr>
        <w:pStyle w:val="10"/>
        <w:spacing w:before="88" w:line="223" w:lineRule="auto"/>
        <w:ind w:left="3633"/>
        <w:rPr>
          <w:sz w:val="27"/>
          <w:szCs w:val="27"/>
        </w:rPr>
      </w:pPr>
      <w:r>
        <w:rPr>
          <w:b/>
          <w:bCs/>
          <w:spacing w:val="-1"/>
          <w:sz w:val="27"/>
          <w:szCs w:val="27"/>
        </w:rPr>
        <w:t>委托人的责任</w:t>
      </w:r>
    </w:p>
    <w:p>
      <w:pPr>
        <w:pStyle w:val="10"/>
        <w:spacing w:before="84" w:line="252" w:lineRule="auto"/>
        <w:ind w:right="33" w:firstLine="560"/>
        <w:rPr>
          <w:sz w:val="27"/>
          <w:szCs w:val="27"/>
        </w:rPr>
      </w:pPr>
      <w:r>
        <w:rPr>
          <w:spacing w:val="4"/>
          <w:sz w:val="27"/>
          <w:szCs w:val="27"/>
        </w:rPr>
        <w:t>第十七条  委托人应当履行建设工程造价咨询合同约定的义务，如有</w:t>
      </w:r>
      <w:r>
        <w:rPr>
          <w:spacing w:val="6"/>
          <w:sz w:val="27"/>
          <w:szCs w:val="27"/>
        </w:rPr>
        <w:t>违反则应当承担违约责任，赔偿给咨询人造成的损失。</w:t>
      </w:r>
    </w:p>
    <w:p>
      <w:pPr>
        <w:pStyle w:val="10"/>
        <w:spacing w:before="52" w:line="254" w:lineRule="auto"/>
        <w:ind w:right="27" w:firstLine="560"/>
        <w:rPr>
          <w:sz w:val="27"/>
          <w:szCs w:val="27"/>
        </w:rPr>
      </w:pPr>
      <w:r>
        <w:rPr>
          <w:spacing w:val="4"/>
          <w:sz w:val="27"/>
          <w:szCs w:val="27"/>
        </w:rPr>
        <w:t>第十八条  委托人如果向咨询人提出赔偿或其他要求不能成立时，则</w:t>
      </w:r>
      <w:r>
        <w:rPr>
          <w:spacing w:val="6"/>
          <w:sz w:val="27"/>
          <w:szCs w:val="27"/>
        </w:rPr>
        <w:t>应补偿由于该赔偿或其他要求所导致咨询人的各种费用的支出。</w:t>
      </w:r>
    </w:p>
    <w:p>
      <w:pPr>
        <w:pStyle w:val="10"/>
        <w:spacing w:before="176" w:line="223" w:lineRule="auto"/>
        <w:ind w:left="3053"/>
        <w:rPr>
          <w:sz w:val="27"/>
          <w:szCs w:val="27"/>
        </w:rPr>
      </w:pPr>
      <w:r>
        <w:rPr>
          <w:b/>
          <w:bCs/>
          <w:spacing w:val="2"/>
          <w:sz w:val="27"/>
          <w:szCs w:val="27"/>
        </w:rPr>
        <w:t>合同生效，变更与终止</w:t>
      </w:r>
    </w:p>
    <w:p>
      <w:pPr>
        <w:pStyle w:val="10"/>
        <w:spacing w:before="97" w:line="222" w:lineRule="auto"/>
        <w:ind w:left="560"/>
        <w:rPr>
          <w:sz w:val="27"/>
          <w:szCs w:val="27"/>
        </w:rPr>
      </w:pPr>
      <w:r>
        <w:rPr>
          <w:spacing w:val="6"/>
          <w:sz w:val="27"/>
          <w:szCs w:val="27"/>
        </w:rPr>
        <w:t>第十九条</w:t>
      </w:r>
      <w:r>
        <w:rPr>
          <w:spacing w:val="138"/>
          <w:sz w:val="27"/>
          <w:szCs w:val="27"/>
        </w:rPr>
        <w:t xml:space="preserve"> </w:t>
      </w:r>
      <w:r>
        <w:rPr>
          <w:spacing w:val="6"/>
          <w:sz w:val="27"/>
          <w:szCs w:val="27"/>
        </w:rPr>
        <w:t>本合同自三方签字盖章之日起生效。</w:t>
      </w:r>
    </w:p>
    <w:p>
      <w:pPr>
        <w:pStyle w:val="10"/>
        <w:spacing w:before="73" w:line="260" w:lineRule="auto"/>
        <w:ind w:right="21" w:firstLine="560"/>
        <w:rPr>
          <w:sz w:val="27"/>
          <w:szCs w:val="27"/>
        </w:rPr>
      </w:pPr>
      <w:r>
        <w:rPr>
          <w:spacing w:val="13"/>
          <w:sz w:val="27"/>
          <w:szCs w:val="27"/>
        </w:rPr>
        <w:t>第二十条  由于委托人或第三人的原因使咨询人工作受到阻碍或延</w:t>
      </w:r>
      <w:r>
        <w:rPr>
          <w:spacing w:val="5"/>
          <w:sz w:val="27"/>
          <w:szCs w:val="27"/>
        </w:rPr>
        <w:t>误以致增加了工作量或持续时间，则咨询人应当将此情况与可能产生</w:t>
      </w:r>
      <w:r>
        <w:rPr>
          <w:spacing w:val="4"/>
          <w:sz w:val="27"/>
          <w:szCs w:val="27"/>
        </w:rPr>
        <w:t>的影</w:t>
      </w:r>
      <w:r>
        <w:rPr>
          <w:spacing w:val="5"/>
          <w:sz w:val="27"/>
          <w:szCs w:val="27"/>
        </w:rPr>
        <w:t>响及时书面通知委托人。由此增加的工作量视为额外服务，完成建设工程</w:t>
      </w:r>
      <w:r>
        <w:rPr>
          <w:spacing w:val="6"/>
          <w:sz w:val="27"/>
          <w:szCs w:val="27"/>
        </w:rPr>
        <w:t>造价咨询工作的时间应当相应延长，并得到额外的酬金。</w:t>
      </w:r>
    </w:p>
    <w:p>
      <w:pPr>
        <w:pStyle w:val="10"/>
        <w:spacing w:before="79" w:line="261" w:lineRule="auto"/>
        <w:ind w:right="21" w:firstLine="560"/>
        <w:rPr>
          <w:sz w:val="27"/>
          <w:szCs w:val="27"/>
        </w:rPr>
      </w:pPr>
      <w:r>
        <w:rPr>
          <w:spacing w:val="13"/>
          <w:sz w:val="27"/>
          <w:szCs w:val="27"/>
        </w:rPr>
        <w:t>第二十一条  当事人一方要求变更或解除合同时，则应当在14日前</w:t>
      </w:r>
      <w:r>
        <w:rPr>
          <w:spacing w:val="4"/>
          <w:sz w:val="27"/>
          <w:szCs w:val="27"/>
        </w:rPr>
        <w:t>通知对方；因变更或解除合同使一方遭受损失的，应由责任方负责并按下</w:t>
      </w:r>
      <w:r>
        <w:rPr>
          <w:spacing w:val="9"/>
          <w:sz w:val="27"/>
          <w:szCs w:val="27"/>
        </w:rPr>
        <w:t>列约定赔偿：在工程量编制结束按本合同约定计费标准的80</w:t>
      </w:r>
      <w:r>
        <w:rPr>
          <w:spacing w:val="8"/>
          <w:sz w:val="27"/>
          <w:szCs w:val="27"/>
        </w:rPr>
        <w:t>%赔偿；在工程咨询结果完成的按本合同约定计费标准的100%赔偿。</w:t>
      </w:r>
    </w:p>
    <w:p>
      <w:pPr>
        <w:pStyle w:val="10"/>
        <w:spacing w:before="63" w:line="257" w:lineRule="auto"/>
        <w:ind w:right="21" w:firstLine="560"/>
        <w:rPr>
          <w:sz w:val="27"/>
          <w:szCs w:val="27"/>
        </w:rPr>
      </w:pPr>
      <w:r>
        <w:rPr>
          <w:spacing w:val="13"/>
          <w:sz w:val="27"/>
          <w:szCs w:val="27"/>
        </w:rPr>
        <w:t>第二十二条  咨询人由于非自身原因暂停或终止执行建设工程造价</w:t>
      </w:r>
      <w:r>
        <w:rPr>
          <w:spacing w:val="5"/>
          <w:sz w:val="27"/>
          <w:szCs w:val="27"/>
        </w:rPr>
        <w:t>咨询业务，由此而增加的恢复执行建设工程造价咨询业务的工作，应视为</w:t>
      </w:r>
      <w:r>
        <w:rPr>
          <w:spacing w:val="4"/>
          <w:sz w:val="27"/>
          <w:szCs w:val="27"/>
        </w:rPr>
        <w:t>额外服务，有权得到额外的时间和酬金。</w:t>
      </w:r>
    </w:p>
    <w:p>
      <w:pPr>
        <w:pStyle w:val="10"/>
        <w:spacing w:before="84" w:line="244" w:lineRule="auto"/>
        <w:ind w:right="14" w:firstLine="560"/>
        <w:rPr>
          <w:sz w:val="27"/>
          <w:szCs w:val="27"/>
        </w:rPr>
      </w:pPr>
      <w:r>
        <w:rPr>
          <w:spacing w:val="5"/>
          <w:sz w:val="27"/>
          <w:szCs w:val="27"/>
        </w:rPr>
        <w:t>第二十三条  变更或解除合同的通知或协议应</w:t>
      </w:r>
      <w:r>
        <w:rPr>
          <w:spacing w:val="4"/>
          <w:sz w:val="27"/>
          <w:szCs w:val="27"/>
        </w:rPr>
        <w:t>当采取书面形式，新的协议未达成之前，原合同仍然有效。</w:t>
      </w:r>
    </w:p>
    <w:p>
      <w:pPr>
        <w:pStyle w:val="10"/>
        <w:spacing w:before="184" w:line="223" w:lineRule="auto"/>
        <w:ind w:left="3473"/>
        <w:rPr>
          <w:sz w:val="27"/>
          <w:szCs w:val="27"/>
        </w:rPr>
      </w:pPr>
      <w:r>
        <w:rPr>
          <w:b/>
          <w:bCs/>
          <w:sz w:val="27"/>
          <w:szCs w:val="27"/>
        </w:rPr>
        <w:t>咨询业务的酬金</w:t>
      </w:r>
    </w:p>
    <w:p>
      <w:pPr>
        <w:pStyle w:val="10"/>
        <w:spacing w:before="94" w:line="253" w:lineRule="auto"/>
        <w:ind w:right="14" w:firstLine="560"/>
        <w:jc w:val="both"/>
        <w:rPr>
          <w:sz w:val="27"/>
          <w:szCs w:val="27"/>
        </w:rPr>
      </w:pPr>
      <w:r>
        <w:rPr>
          <w:spacing w:val="5"/>
          <w:sz w:val="27"/>
          <w:szCs w:val="27"/>
        </w:rPr>
        <w:t>第二十四条</w:t>
      </w:r>
      <w:r>
        <w:rPr>
          <w:spacing w:val="135"/>
          <w:sz w:val="27"/>
          <w:szCs w:val="27"/>
        </w:rPr>
        <w:t xml:space="preserve"> </w:t>
      </w:r>
      <w:r>
        <w:rPr>
          <w:spacing w:val="5"/>
          <w:sz w:val="27"/>
          <w:szCs w:val="27"/>
        </w:rPr>
        <w:t>正常的建设工程造价咨询业务，附加工作和额外工作的酬金，按照建设工程造价咨询合同专用条件约定的方法计取，并按约定的</w:t>
      </w:r>
      <w:r>
        <w:rPr>
          <w:sz w:val="27"/>
          <w:szCs w:val="27"/>
        </w:rPr>
        <w:t>时间和数额支付。</w:t>
      </w:r>
    </w:p>
    <w:p>
      <w:pPr>
        <w:pStyle w:val="10"/>
        <w:spacing w:before="90" w:line="256" w:lineRule="auto"/>
        <w:ind w:right="3" w:firstLine="560"/>
        <w:jc w:val="both"/>
        <w:rPr>
          <w:sz w:val="27"/>
          <w:szCs w:val="27"/>
        </w:rPr>
      </w:pPr>
      <w:r>
        <w:rPr>
          <w:spacing w:val="14"/>
          <w:sz w:val="27"/>
          <w:szCs w:val="27"/>
        </w:rPr>
        <w:t>第二十五条  如果委托人在规定的支付期限内未支付建设工程造价</w:t>
      </w:r>
      <w:r>
        <w:rPr>
          <w:spacing w:val="5"/>
          <w:sz w:val="27"/>
          <w:szCs w:val="27"/>
        </w:rPr>
        <w:t>咨询酬金，自规定支付之日起，应当向咨询人补偿应支付的酬金利息。利</w:t>
      </w:r>
      <w:r>
        <w:rPr>
          <w:spacing w:val="8"/>
          <w:sz w:val="27"/>
          <w:szCs w:val="27"/>
        </w:rPr>
        <w:t>息额按规定支付期限最后一日银行活期贷款乘以拖欠酬金时间计算。</w:t>
      </w:r>
    </w:p>
    <w:p>
      <w:pPr>
        <w:pStyle w:val="10"/>
        <w:spacing w:before="69" w:line="256" w:lineRule="auto"/>
        <w:ind w:right="4" w:firstLine="560"/>
        <w:jc w:val="both"/>
        <w:rPr>
          <w:sz w:val="27"/>
          <w:szCs w:val="27"/>
        </w:rPr>
      </w:pPr>
      <w:r>
        <w:rPr>
          <w:spacing w:val="14"/>
          <w:sz w:val="27"/>
          <w:szCs w:val="27"/>
        </w:rPr>
        <w:t>第二十六条  如果委托人对咨询人提交的支付通知书中酬金或部分</w:t>
      </w:r>
      <w:r>
        <w:rPr>
          <w:spacing w:val="5"/>
          <w:sz w:val="27"/>
          <w:szCs w:val="27"/>
        </w:rPr>
        <w:t>酬金项目提出异议，应当在收到支付通知书两日内向咨询人发出异议的通</w:t>
      </w:r>
      <w:r>
        <w:rPr>
          <w:spacing w:val="7"/>
          <w:sz w:val="27"/>
          <w:szCs w:val="27"/>
        </w:rPr>
        <w:t>知，但委托人不得拖延其无异议酬金项目的支付。</w:t>
      </w:r>
    </w:p>
    <w:p>
      <w:pPr>
        <w:pStyle w:val="10"/>
        <w:spacing w:before="94" w:line="242" w:lineRule="auto"/>
        <w:ind w:firstLine="560"/>
        <w:rPr>
          <w:sz w:val="27"/>
          <w:szCs w:val="27"/>
        </w:rPr>
      </w:pPr>
      <w:r>
        <w:rPr>
          <w:spacing w:val="6"/>
          <w:sz w:val="27"/>
          <w:szCs w:val="27"/>
        </w:rPr>
        <w:t>第二十七条</w:t>
      </w:r>
      <w:r>
        <w:rPr>
          <w:spacing w:val="125"/>
          <w:sz w:val="27"/>
          <w:szCs w:val="27"/>
        </w:rPr>
        <w:t xml:space="preserve"> </w:t>
      </w:r>
      <w:r>
        <w:rPr>
          <w:spacing w:val="6"/>
          <w:sz w:val="27"/>
          <w:szCs w:val="27"/>
        </w:rPr>
        <w:t>支付建设工程造价咨询酬金所采取的货币币种</w:t>
      </w:r>
      <w:r>
        <w:rPr>
          <w:spacing w:val="5"/>
          <w:sz w:val="27"/>
          <w:szCs w:val="27"/>
        </w:rPr>
        <w:t>、汇率由</w:t>
      </w:r>
      <w:r>
        <w:rPr>
          <w:spacing w:val="1"/>
          <w:sz w:val="27"/>
          <w:szCs w:val="27"/>
        </w:rPr>
        <w:t>合同专用条件约定。</w:t>
      </w:r>
    </w:p>
    <w:p>
      <w:pPr>
        <w:spacing w:line="242" w:lineRule="auto"/>
        <w:rPr>
          <w:sz w:val="27"/>
          <w:szCs w:val="27"/>
        </w:rPr>
        <w:sectPr>
          <w:pgSz w:w="11900" w:h="16830"/>
          <w:pgMar w:top="1440" w:right="1080" w:bottom="1440" w:left="1080" w:header="0" w:footer="0" w:gutter="0"/>
          <w:pgNumType w:fmt="decimal"/>
          <w:cols w:space="720" w:num="1"/>
        </w:sectPr>
      </w:pPr>
    </w:p>
    <w:p>
      <w:pPr>
        <w:spacing w:line="402" w:lineRule="auto"/>
        <w:rPr>
          <w:rFonts w:ascii="Arial"/>
          <w:sz w:val="21"/>
        </w:rPr>
      </w:pPr>
    </w:p>
    <w:p>
      <w:pPr>
        <w:pStyle w:val="10"/>
        <w:spacing w:before="88" w:line="222" w:lineRule="auto"/>
        <w:ind w:left="3843"/>
        <w:rPr>
          <w:sz w:val="27"/>
          <w:szCs w:val="27"/>
        </w:rPr>
      </w:pPr>
      <w:r>
        <w:rPr>
          <w:b/>
          <w:bCs/>
          <w:spacing w:val="-13"/>
          <w:sz w:val="27"/>
          <w:szCs w:val="27"/>
        </w:rPr>
        <w:t>其</w:t>
      </w:r>
      <w:r>
        <w:rPr>
          <w:spacing w:val="10"/>
          <w:sz w:val="27"/>
          <w:szCs w:val="27"/>
        </w:rPr>
        <w:t xml:space="preserve">    </w:t>
      </w:r>
      <w:r>
        <w:rPr>
          <w:b/>
          <w:bCs/>
          <w:spacing w:val="-13"/>
          <w:sz w:val="27"/>
          <w:szCs w:val="27"/>
        </w:rPr>
        <w:t>他</w:t>
      </w:r>
    </w:p>
    <w:p>
      <w:pPr>
        <w:pStyle w:val="10"/>
        <w:spacing w:before="106" w:line="253" w:lineRule="auto"/>
        <w:ind w:right="85" w:firstLine="569"/>
        <w:rPr>
          <w:sz w:val="27"/>
          <w:szCs w:val="27"/>
        </w:rPr>
      </w:pPr>
      <w:r>
        <w:rPr>
          <w:spacing w:val="4"/>
          <w:sz w:val="27"/>
          <w:szCs w:val="27"/>
        </w:rPr>
        <w:t>第二十八条  因建设工程造价咨询业务的需要，咨询人在合同约定外</w:t>
      </w:r>
      <w:r>
        <w:rPr>
          <w:spacing w:val="5"/>
          <w:sz w:val="27"/>
          <w:szCs w:val="27"/>
        </w:rPr>
        <w:t>的外出考察，经委托人同意，其所需费用由委托人负责。</w:t>
      </w:r>
    </w:p>
    <w:p>
      <w:pPr>
        <w:pStyle w:val="10"/>
        <w:spacing w:before="48" w:line="263" w:lineRule="auto"/>
        <w:ind w:right="82" w:firstLine="569"/>
        <w:rPr>
          <w:sz w:val="27"/>
          <w:szCs w:val="27"/>
        </w:rPr>
      </w:pPr>
      <w:r>
        <w:rPr>
          <w:spacing w:val="4"/>
          <w:sz w:val="27"/>
          <w:szCs w:val="27"/>
        </w:rPr>
        <w:t>第二十九条</w:t>
      </w:r>
      <w:r>
        <w:rPr>
          <w:spacing w:val="8"/>
          <w:sz w:val="27"/>
          <w:szCs w:val="27"/>
        </w:rPr>
        <w:t xml:space="preserve">  </w:t>
      </w:r>
      <w:r>
        <w:rPr>
          <w:spacing w:val="4"/>
          <w:sz w:val="27"/>
          <w:szCs w:val="27"/>
        </w:rPr>
        <w:t>咨询人如需外聘专家协助，在委托的建设工程造价咨询业务范围内其费用由咨询人承担；在委托的建设工程造价咨询业务范围以</w:t>
      </w:r>
      <w:r>
        <w:rPr>
          <w:spacing w:val="5"/>
          <w:sz w:val="27"/>
          <w:szCs w:val="27"/>
        </w:rPr>
        <w:t>外经委托人认可其费用由委托人承担。</w:t>
      </w:r>
    </w:p>
    <w:p>
      <w:pPr>
        <w:pStyle w:val="10"/>
        <w:spacing w:before="67" w:line="247" w:lineRule="auto"/>
        <w:ind w:right="75" w:firstLine="569"/>
        <w:rPr>
          <w:sz w:val="27"/>
          <w:szCs w:val="27"/>
        </w:rPr>
      </w:pPr>
      <w:r>
        <w:rPr>
          <w:spacing w:val="4"/>
          <w:sz w:val="27"/>
          <w:szCs w:val="27"/>
        </w:rPr>
        <w:t>第三十条  未经对方的书面同意，各方均不得转让合同约定的权利和</w:t>
      </w:r>
      <w:r>
        <w:rPr>
          <w:spacing w:val="-6"/>
          <w:sz w:val="27"/>
          <w:szCs w:val="27"/>
        </w:rPr>
        <w:t>义务。</w:t>
      </w:r>
    </w:p>
    <w:p>
      <w:pPr>
        <w:pStyle w:val="10"/>
        <w:spacing w:before="62" w:line="248" w:lineRule="auto"/>
        <w:ind w:firstLine="569"/>
        <w:rPr>
          <w:sz w:val="27"/>
          <w:szCs w:val="27"/>
        </w:rPr>
      </w:pPr>
      <w:r>
        <w:rPr>
          <w:spacing w:val="4"/>
          <w:sz w:val="27"/>
          <w:szCs w:val="27"/>
        </w:rPr>
        <w:t>第三十一条</w:t>
      </w:r>
      <w:r>
        <w:rPr>
          <w:spacing w:val="125"/>
          <w:sz w:val="27"/>
          <w:szCs w:val="27"/>
        </w:rPr>
        <w:t xml:space="preserve"> </w:t>
      </w:r>
      <w:r>
        <w:rPr>
          <w:spacing w:val="4"/>
          <w:sz w:val="27"/>
          <w:szCs w:val="27"/>
        </w:rPr>
        <w:t>除委托人书面同意外，咨询人及</w:t>
      </w:r>
      <w:r>
        <w:rPr>
          <w:spacing w:val="3"/>
          <w:sz w:val="27"/>
          <w:szCs w:val="27"/>
        </w:rPr>
        <w:t>咨询专业人员不应接受</w:t>
      </w:r>
      <w:r>
        <w:rPr>
          <w:spacing w:val="8"/>
          <w:sz w:val="27"/>
          <w:szCs w:val="27"/>
        </w:rPr>
        <w:t>建设工程造价咨询合同约定以外的与工程造价</w:t>
      </w:r>
      <w:r>
        <w:rPr>
          <w:spacing w:val="7"/>
          <w:sz w:val="27"/>
          <w:szCs w:val="27"/>
        </w:rPr>
        <w:t>咨询项目有关的任何报酬。咨询人不得参与可能与合同规定的与委托人利益相冲突的任何活动。</w:t>
      </w:r>
    </w:p>
    <w:p>
      <w:pPr>
        <w:pStyle w:val="10"/>
        <w:spacing w:before="183" w:line="222" w:lineRule="auto"/>
        <w:ind w:left="3453"/>
        <w:rPr>
          <w:sz w:val="27"/>
          <w:szCs w:val="27"/>
        </w:rPr>
      </w:pPr>
      <w:r>
        <w:rPr>
          <w:b/>
          <w:bCs/>
          <w:spacing w:val="4"/>
          <w:sz w:val="27"/>
          <w:szCs w:val="27"/>
        </w:rPr>
        <w:t>合同争议的解决</w:t>
      </w:r>
    </w:p>
    <w:p>
      <w:pPr>
        <w:pStyle w:val="10"/>
        <w:spacing w:before="107" w:line="261" w:lineRule="auto"/>
        <w:ind w:right="20" w:firstLine="569"/>
        <w:jc w:val="both"/>
        <w:rPr>
          <w:sz w:val="27"/>
          <w:szCs w:val="27"/>
        </w:rPr>
      </w:pPr>
      <w:r>
        <w:rPr>
          <w:spacing w:val="4"/>
          <w:sz w:val="27"/>
          <w:szCs w:val="27"/>
        </w:rPr>
        <w:t>第三十二条  因违约或终止合同而引起的损失和损害的赔偿，委托人</w:t>
      </w:r>
      <w:r>
        <w:rPr>
          <w:spacing w:val="-1"/>
          <w:sz w:val="27"/>
          <w:szCs w:val="27"/>
        </w:rPr>
        <w:t>与咨询人之间应当协商解决；如未能达成一</w:t>
      </w:r>
      <w:r>
        <w:rPr>
          <w:spacing w:val="-2"/>
          <w:sz w:val="27"/>
          <w:szCs w:val="27"/>
        </w:rPr>
        <w:t>致，可提交有关主管部门调解；</w:t>
      </w:r>
      <w:r>
        <w:rPr>
          <w:spacing w:val="5"/>
          <w:sz w:val="27"/>
          <w:szCs w:val="27"/>
        </w:rPr>
        <w:t>协商或调解不成的，根据三方约定提交仲裁机关仲裁，或向人民法院</w:t>
      </w:r>
      <w:r>
        <w:rPr>
          <w:spacing w:val="4"/>
          <w:sz w:val="27"/>
          <w:szCs w:val="27"/>
        </w:rPr>
        <w:t>提起</w:t>
      </w:r>
      <w:r>
        <w:rPr>
          <w:spacing w:val="-6"/>
          <w:sz w:val="27"/>
          <w:szCs w:val="27"/>
        </w:rPr>
        <w:t>诉讼。</w:t>
      </w:r>
    </w:p>
    <w:p>
      <w:pPr>
        <w:spacing w:line="261" w:lineRule="auto"/>
        <w:rPr>
          <w:sz w:val="27"/>
          <w:szCs w:val="27"/>
        </w:rPr>
        <w:sectPr>
          <w:pgSz w:w="11900" w:h="16830"/>
          <w:pgMar w:top="1440" w:right="1080" w:bottom="1440" w:left="1080" w:header="0" w:footer="0" w:gutter="0"/>
          <w:pgNumType w:fmt="decimal"/>
          <w:cols w:space="720" w:num="1"/>
        </w:sectPr>
      </w:pPr>
    </w:p>
    <w:p>
      <w:pPr>
        <w:spacing w:line="381" w:lineRule="auto"/>
        <w:rPr>
          <w:rFonts w:ascii="Arial"/>
          <w:sz w:val="21"/>
        </w:rPr>
      </w:pPr>
    </w:p>
    <w:p>
      <w:pPr>
        <w:pStyle w:val="10"/>
        <w:spacing w:before="91" w:line="222" w:lineRule="auto"/>
        <w:ind w:left="1803"/>
      </w:pPr>
      <w:r>
        <w:rPr>
          <w:b/>
          <w:bCs/>
          <w:spacing w:val="-6"/>
        </w:rPr>
        <w:t>第三部分</w:t>
      </w:r>
      <w:r>
        <w:rPr>
          <w:spacing w:val="126"/>
        </w:rPr>
        <w:t xml:space="preserve"> </w:t>
      </w:r>
      <w:r>
        <w:rPr>
          <w:b/>
          <w:bCs/>
          <w:spacing w:val="-6"/>
        </w:rPr>
        <w:t>建设工程造价咨询合同专用条件</w:t>
      </w:r>
    </w:p>
    <w:p>
      <w:pPr>
        <w:pStyle w:val="10"/>
        <w:spacing w:before="51" w:line="242" w:lineRule="auto"/>
        <w:ind w:left="4" w:right="174" w:firstLine="520"/>
        <w:rPr>
          <w:b/>
          <w:bCs/>
          <w:u w:val="single" w:color="auto"/>
        </w:rPr>
      </w:pPr>
      <w:r>
        <w:rPr>
          <w:b/>
          <w:bCs/>
          <w:spacing w:val="-12"/>
        </w:rPr>
        <w:t>第</w:t>
      </w:r>
      <w:r>
        <w:rPr>
          <w:rFonts w:hint="eastAsia" w:eastAsia="宋体"/>
          <w:b/>
          <w:bCs/>
          <w:spacing w:val="-12"/>
          <w:lang w:val="en-US" w:eastAsia="zh-CN"/>
        </w:rPr>
        <w:t>一</w:t>
      </w:r>
      <w:r>
        <w:rPr>
          <w:b/>
          <w:bCs/>
          <w:spacing w:val="-12"/>
        </w:rPr>
        <w:t>条</w:t>
      </w:r>
      <w:r>
        <w:rPr>
          <w:spacing w:val="-12"/>
        </w:rPr>
        <w:t xml:space="preserve">  </w:t>
      </w:r>
      <w:r>
        <w:rPr>
          <w:b/>
          <w:bCs/>
          <w:spacing w:val="-12"/>
        </w:rPr>
        <w:t>本合同适用的法律、法规及工程造价计价办法和规定：</w:t>
      </w:r>
      <w:r>
        <w:rPr>
          <w:spacing w:val="-12"/>
        </w:rPr>
        <w:t xml:space="preserve"> </w:t>
      </w:r>
      <w:r>
        <w:rPr>
          <w:b/>
          <w:bCs/>
          <w:spacing w:val="-12"/>
          <w:u w:val="single" w:color="auto"/>
        </w:rPr>
        <w:t>福建</w:t>
      </w:r>
      <w:r>
        <w:rPr>
          <w:b/>
          <w:bCs/>
          <w:u w:val="single" w:color="auto"/>
        </w:rPr>
        <w:t xml:space="preserve">省有关工程造价预结算的法律法规以及单位主管部门和地方规章等相关规定。 </w:t>
      </w:r>
    </w:p>
    <w:p>
      <w:pPr>
        <w:pStyle w:val="10"/>
        <w:spacing w:before="58" w:line="360" w:lineRule="auto"/>
        <w:ind w:left="540"/>
      </w:pPr>
      <w:r>
        <w:rPr>
          <w:spacing w:val="-9"/>
        </w:rPr>
        <w:t>第</w:t>
      </w:r>
      <w:r>
        <w:rPr>
          <w:rFonts w:hint="eastAsia" w:eastAsia="宋体"/>
          <w:spacing w:val="-9"/>
          <w:lang w:val="en-US" w:eastAsia="zh-CN"/>
        </w:rPr>
        <w:t>二</w:t>
      </w:r>
      <w:r>
        <w:rPr>
          <w:spacing w:val="-9"/>
        </w:rPr>
        <w:t>条</w:t>
      </w:r>
      <w:r>
        <w:rPr>
          <w:rFonts w:hint="eastAsia" w:eastAsia="宋体"/>
          <w:spacing w:val="-9"/>
          <w:lang w:val="en-US" w:eastAsia="zh-CN"/>
        </w:rPr>
        <w:t xml:space="preserve"> </w:t>
      </w:r>
      <w:r>
        <w:rPr>
          <w:spacing w:val="-9"/>
        </w:rPr>
        <w:t xml:space="preserve">建设工程造价咨询业务范围： </w:t>
      </w:r>
      <w:r>
        <w:rPr>
          <w:b/>
          <w:bCs/>
          <w:spacing w:val="-9"/>
          <w:u w:val="single" w:color="auto"/>
        </w:rPr>
        <w:t>工程预算编制</w:t>
      </w:r>
    </w:p>
    <w:p>
      <w:pPr>
        <w:pStyle w:val="10"/>
        <w:spacing w:before="60" w:line="360" w:lineRule="auto"/>
        <w:ind w:left="540"/>
      </w:pPr>
      <w:r>
        <w:rPr>
          <w:spacing w:val="-4"/>
        </w:rPr>
        <w:t>"建设工程造价咨询业务"是指以下服务类别的咨询业务：</w:t>
      </w:r>
    </w:p>
    <w:p>
      <w:pPr>
        <w:pStyle w:val="10"/>
        <w:spacing w:before="60" w:line="360" w:lineRule="auto"/>
        <w:ind w:left="540"/>
        <w:rPr>
          <w:spacing w:val="-4"/>
        </w:rPr>
      </w:pPr>
      <w:r>
        <w:rPr>
          <w:spacing w:val="-4"/>
        </w:rPr>
        <w:t>(A 类)建设项目可行性研究投资估算的编制、审核及项目经济评价；</w:t>
      </w:r>
    </w:p>
    <w:p>
      <w:pPr>
        <w:pStyle w:val="10"/>
        <w:spacing w:before="60" w:line="360" w:lineRule="auto"/>
        <w:ind w:left="540"/>
        <w:rPr>
          <w:spacing w:val="-4"/>
        </w:rPr>
      </w:pPr>
      <w:r>
        <w:rPr>
          <w:spacing w:val="-4"/>
        </w:rPr>
        <w:t>(B 类)建设工程概算、预算、结算、竣工结(决)算的编制、审核；</w:t>
      </w:r>
    </w:p>
    <w:p>
      <w:pPr>
        <w:pStyle w:val="10"/>
        <w:spacing w:before="60" w:line="360" w:lineRule="auto"/>
        <w:ind w:left="540"/>
        <w:rPr>
          <w:spacing w:val="-4"/>
        </w:rPr>
      </w:pPr>
      <w:r>
        <w:rPr>
          <w:spacing w:val="-4"/>
        </w:rPr>
        <w:t>(C 类)建设工程招标标底、投标报价的编制、审核；</w:t>
      </w:r>
    </w:p>
    <w:p>
      <w:pPr>
        <w:pStyle w:val="10"/>
        <w:spacing w:before="60" w:line="360" w:lineRule="auto"/>
        <w:ind w:left="540"/>
        <w:rPr>
          <w:spacing w:val="-4"/>
        </w:rPr>
      </w:pPr>
      <w:r>
        <w:rPr>
          <w:spacing w:val="-4"/>
        </w:rPr>
        <w:t>(D</w:t>
      </w:r>
      <w:r>
        <w:rPr>
          <w:rFonts w:hint="eastAsia"/>
          <w:spacing w:val="-4"/>
          <w:lang w:val="en-US" w:eastAsia="zh-CN"/>
        </w:rPr>
        <w:t xml:space="preserve"> </w:t>
      </w:r>
      <w:r>
        <w:rPr>
          <w:spacing w:val="-4"/>
        </w:rPr>
        <w:t>类)工程洽商、变更及合同争议的鉴定与索赔；</w:t>
      </w:r>
    </w:p>
    <w:p>
      <w:pPr>
        <w:pStyle w:val="10"/>
        <w:spacing w:before="60" w:line="360" w:lineRule="auto"/>
        <w:ind w:left="540"/>
      </w:pPr>
      <w:r>
        <w:rPr>
          <w:spacing w:val="-4"/>
        </w:rPr>
        <w:t>(E 类)编制工程造价计价依据及对工程造价进行监控和提供有关工程造价信息资料等</w:t>
      </w:r>
      <w:r>
        <w:rPr>
          <w:spacing w:val="-8"/>
        </w:rPr>
        <w:t>。</w:t>
      </w:r>
    </w:p>
    <w:p>
      <w:pPr>
        <w:pStyle w:val="10"/>
        <w:spacing w:before="66" w:line="360" w:lineRule="auto"/>
        <w:ind w:right="172" w:firstLine="540"/>
      </w:pPr>
      <w:r>
        <w:rPr>
          <w:spacing w:val="4"/>
        </w:rPr>
        <w:t>第</w:t>
      </w:r>
      <w:r>
        <w:rPr>
          <w:rFonts w:hint="eastAsia" w:eastAsia="宋体"/>
          <w:spacing w:val="4"/>
          <w:lang w:val="en-US" w:eastAsia="zh-CN"/>
        </w:rPr>
        <w:t>三</w:t>
      </w:r>
      <w:r>
        <w:rPr>
          <w:spacing w:val="4"/>
        </w:rPr>
        <w:t xml:space="preserve">条  </w:t>
      </w:r>
      <w:r>
        <w:rPr>
          <w:rFonts w:hint="eastAsia"/>
          <w:spacing w:val="4"/>
          <w:lang w:eastAsia="zh-CN"/>
        </w:rPr>
        <w:t>双</w:t>
      </w:r>
      <w:r>
        <w:rPr>
          <w:spacing w:val="4"/>
        </w:rPr>
        <w:t>方约定的委托人应提供的建设工程造价咨询材料及提供时间：委托人每提供一个完整的单位工程施工图纸(经)</w:t>
      </w:r>
    </w:p>
    <w:p>
      <w:pPr>
        <w:pStyle w:val="10"/>
        <w:spacing w:before="72" w:line="360" w:lineRule="auto"/>
        <w:ind w:right="185" w:firstLine="540"/>
      </w:pPr>
      <w:r>
        <w:rPr>
          <w:spacing w:val="8"/>
        </w:rPr>
        <w:t>第</w:t>
      </w:r>
      <w:r>
        <w:rPr>
          <w:rFonts w:hint="eastAsia" w:eastAsia="宋体"/>
          <w:spacing w:val="8"/>
          <w:lang w:val="en-US" w:eastAsia="zh-CN"/>
        </w:rPr>
        <w:t>四</w:t>
      </w:r>
      <w:r>
        <w:rPr>
          <w:spacing w:val="8"/>
        </w:rPr>
        <w:t>条  委托人应在3日内对咨询人书面提交并要求做出答复的事</w:t>
      </w:r>
      <w:r>
        <w:rPr>
          <w:spacing w:val="-11"/>
        </w:rPr>
        <w:t>宜做出书面答复。</w:t>
      </w:r>
    </w:p>
    <w:p>
      <w:pPr>
        <w:pStyle w:val="10"/>
        <w:spacing w:before="59" w:line="360" w:lineRule="auto"/>
        <w:ind w:right="169" w:firstLine="490"/>
      </w:pPr>
      <w:r>
        <w:rPr>
          <w:spacing w:val="6"/>
        </w:rPr>
        <w:t>第</w:t>
      </w:r>
      <w:r>
        <w:rPr>
          <w:rFonts w:hint="eastAsia" w:eastAsia="宋体"/>
          <w:spacing w:val="6"/>
          <w:lang w:val="en-US" w:eastAsia="zh-CN"/>
        </w:rPr>
        <w:t>五</w:t>
      </w:r>
      <w:r>
        <w:rPr>
          <w:spacing w:val="6"/>
        </w:rPr>
        <w:t>条  咨询人对其责任期内因失职造成委托人的经济损失承</w:t>
      </w:r>
      <w:r>
        <w:rPr>
          <w:spacing w:val="5"/>
        </w:rPr>
        <w:t>担赔</w:t>
      </w:r>
      <w:r>
        <w:rPr>
          <w:spacing w:val="-11"/>
        </w:rPr>
        <w:t>偿责任。</w:t>
      </w:r>
    </w:p>
    <w:p>
      <w:pPr>
        <w:pStyle w:val="10"/>
        <w:spacing w:before="69" w:line="360" w:lineRule="auto"/>
        <w:ind w:right="12" w:firstLine="540"/>
      </w:pPr>
      <w:r>
        <w:rPr>
          <w:spacing w:val="-5"/>
        </w:rPr>
        <w:t>第</w:t>
      </w:r>
      <w:r>
        <w:rPr>
          <w:rFonts w:hint="eastAsia" w:eastAsia="宋体"/>
          <w:spacing w:val="-5"/>
          <w:lang w:val="en-US" w:eastAsia="zh-CN"/>
        </w:rPr>
        <w:t>六</w:t>
      </w:r>
      <w:r>
        <w:rPr>
          <w:spacing w:val="-5"/>
        </w:rPr>
        <w:t>条  委托人同意按以下的计算方法、支付时间与金额，支付咨</w:t>
      </w:r>
      <w:r>
        <w:rPr>
          <w:spacing w:val="-1"/>
        </w:rPr>
        <w:t xml:space="preserve">询人的正常服务酬金： </w:t>
      </w:r>
      <w:r>
        <w:rPr>
          <w:spacing w:val="-1"/>
          <w:u w:val="single" w:color="auto"/>
        </w:rPr>
        <w:t>最终结算金额以预算审核单位审核后的预算金额</w:t>
      </w:r>
      <w:r>
        <w:rPr>
          <w:spacing w:val="7"/>
          <w:u w:val="single" w:color="auto"/>
        </w:rPr>
        <w:t>(不下浮)作为计费基数，依据</w:t>
      </w:r>
      <w:r>
        <w:rPr>
          <w:rFonts w:hint="eastAsia"/>
          <w:spacing w:val="7"/>
          <w:u w:val="single" w:color="auto"/>
        </w:rPr>
        <w:t>闽招协[2021]32号《关于招标代理、工程造价咨询行业服务收费的指导意见》</w:t>
      </w:r>
      <w:r>
        <w:rPr>
          <w:spacing w:val="-5"/>
          <w:u w:val="single" w:color="auto"/>
        </w:rPr>
        <w:t>中工程</w:t>
      </w:r>
      <w:r>
        <w:rPr>
          <w:rFonts w:hint="eastAsia"/>
          <w:spacing w:val="-5"/>
          <w:u w:val="single" w:color="auto"/>
        </w:rPr>
        <w:t>施工图预算编制或审核</w:t>
      </w:r>
      <w:r>
        <w:rPr>
          <w:rFonts w:hint="eastAsia"/>
          <w:spacing w:val="-5"/>
          <w:u w:val="single" w:color="auto"/>
          <w:lang w:eastAsia="zh-CN"/>
        </w:rPr>
        <w:t>（依据施工图纸和相关资料编制或审核施工图预算）</w:t>
      </w:r>
      <w:r>
        <w:rPr>
          <w:spacing w:val="3"/>
          <w:u w:val="single" w:color="auto"/>
        </w:rPr>
        <w:t>的收费标准的</w:t>
      </w:r>
      <w:r>
        <w:rPr>
          <w:rFonts w:hint="eastAsia"/>
          <w:spacing w:val="3"/>
          <w:highlight w:val="yellow"/>
          <w:u w:val="single" w:color="auto"/>
          <w:lang w:val="en-US" w:eastAsia="zh-CN"/>
        </w:rPr>
        <w:t xml:space="preserve">   </w:t>
      </w:r>
      <w:r>
        <w:rPr>
          <w:spacing w:val="3"/>
          <w:highlight w:val="yellow"/>
          <w:u w:val="single" w:color="auto"/>
        </w:rPr>
        <w:t>%</w:t>
      </w:r>
      <w:r>
        <w:rPr>
          <w:spacing w:val="3"/>
          <w:u w:val="single" w:color="auto"/>
        </w:rPr>
        <w:t>,同意本项</w:t>
      </w:r>
      <w:r>
        <w:rPr>
          <w:spacing w:val="6"/>
          <w:u w:val="single" w:color="auto"/>
        </w:rPr>
        <w:t>目预算编制咨询费</w:t>
      </w:r>
      <w:r>
        <w:rPr>
          <w:rFonts w:hint="eastAsia"/>
          <w:spacing w:val="6"/>
          <w:u w:val="single" w:color="auto"/>
          <w:lang w:eastAsia="zh-CN"/>
        </w:rPr>
        <w:t>暂</w:t>
      </w:r>
      <w:r>
        <w:rPr>
          <w:spacing w:val="6"/>
          <w:u w:val="single" w:color="auto"/>
        </w:rPr>
        <w:t>按人民币</w:t>
      </w:r>
      <w:r>
        <w:rPr>
          <w:rFonts w:hint="eastAsia"/>
          <w:spacing w:val="6"/>
          <w:u w:val="single" w:color="auto"/>
          <w:lang w:val="en-US" w:eastAsia="zh-CN"/>
        </w:rPr>
        <w:t>21036万</w:t>
      </w:r>
      <w:r>
        <w:rPr>
          <w:spacing w:val="6"/>
          <w:u w:val="single" w:color="auto"/>
        </w:rPr>
        <w:t>元</w:t>
      </w:r>
      <w:r>
        <w:rPr>
          <w:spacing w:val="-5"/>
          <w:u w:val="single" w:color="auto"/>
        </w:rPr>
        <w:t>计取，最终咨询服务费按预算编制造价金</w:t>
      </w:r>
      <w:r>
        <w:rPr>
          <w:spacing w:val="-6"/>
          <w:u w:val="single" w:color="auto"/>
        </w:rPr>
        <w:t>额为基数计算</w:t>
      </w:r>
      <w:r>
        <w:rPr>
          <w:spacing w:val="-6"/>
          <w:u w:val="none" w:color="auto"/>
        </w:rPr>
        <w:t>。</w:t>
      </w:r>
      <w:r>
        <w:rPr>
          <w:u w:val="none" w:color="auto"/>
        </w:rPr>
        <w:t xml:space="preserve">  </w:t>
      </w:r>
    </w:p>
    <w:p>
      <w:pPr>
        <w:pStyle w:val="10"/>
        <w:spacing w:before="61" w:line="360" w:lineRule="auto"/>
        <w:ind w:right="51" w:firstLine="540"/>
        <w:rPr>
          <w:spacing w:val="-4"/>
          <w:u w:val="none" w:color="auto"/>
        </w:rPr>
      </w:pPr>
      <w:r>
        <w:rPr>
          <w:spacing w:val="-5"/>
          <w:u w:val="single" w:color="auto"/>
        </w:rPr>
        <w:t>①预算编制单位每完成一个单位工程的预算编制，预算成果提交给委</w:t>
      </w:r>
      <w:r>
        <w:rPr>
          <w:spacing w:val="-3"/>
          <w:u w:val="single" w:color="auto"/>
        </w:rPr>
        <w:t>托人并经预算审核后支付该单位工程的咨询费</w:t>
      </w:r>
      <w:r>
        <w:rPr>
          <w:spacing w:val="-4"/>
          <w:u w:val="single" w:color="auto"/>
        </w:rPr>
        <w:t>的</w:t>
      </w:r>
      <w:r>
        <w:rPr>
          <w:rFonts w:hint="eastAsia"/>
          <w:spacing w:val="-4"/>
          <w:u w:val="single" w:color="auto"/>
          <w:lang w:val="en-US" w:eastAsia="zh-CN"/>
        </w:rPr>
        <w:t>85</w:t>
      </w:r>
      <w:r>
        <w:rPr>
          <w:spacing w:val="-4"/>
          <w:u w:val="single" w:color="auto"/>
        </w:rPr>
        <w:t>%。若因委托人原因，在预算编制完成后</w:t>
      </w:r>
      <w:r>
        <w:rPr>
          <w:rFonts w:hint="eastAsia"/>
          <w:spacing w:val="-4"/>
          <w:u w:val="single" w:color="auto"/>
          <w:lang w:eastAsia="zh-CN"/>
        </w:rPr>
        <w:t>二</w:t>
      </w:r>
      <w:r>
        <w:rPr>
          <w:spacing w:val="-4"/>
          <w:u w:val="single" w:color="auto"/>
        </w:rPr>
        <w:t>个月后未经过审核，则受托人可</w:t>
      </w:r>
      <w:r>
        <w:rPr>
          <w:spacing w:val="-5"/>
          <w:u w:val="single" w:color="auto"/>
        </w:rPr>
        <w:t>暂按单位工程咨询费</w:t>
      </w:r>
      <w:r>
        <w:rPr>
          <w:spacing w:val="-10"/>
          <w:u w:val="single" w:color="auto"/>
        </w:rPr>
        <w:t>的</w:t>
      </w:r>
      <w:r>
        <w:rPr>
          <w:rFonts w:hint="eastAsia"/>
          <w:spacing w:val="-10"/>
          <w:u w:val="single" w:color="auto"/>
          <w:lang w:val="en-US" w:eastAsia="zh-CN"/>
        </w:rPr>
        <w:t>65</w:t>
      </w:r>
      <w:r>
        <w:rPr>
          <w:spacing w:val="-10"/>
          <w:u w:val="single" w:color="auto"/>
        </w:rPr>
        <w:t>%申请预算编</w:t>
      </w:r>
      <w:r>
        <w:rPr>
          <w:spacing w:val="-4"/>
          <w:u w:val="single" w:color="auto"/>
        </w:rPr>
        <w:t>制费用</w:t>
      </w:r>
      <w:r>
        <w:rPr>
          <w:spacing w:val="-4"/>
          <w:u w:val="none" w:color="auto"/>
        </w:rPr>
        <w:t xml:space="preserve">。  </w:t>
      </w:r>
    </w:p>
    <w:p>
      <w:pPr>
        <w:pStyle w:val="10"/>
        <w:shd w:val="clear" w:color="auto" w:fill="auto"/>
        <w:spacing w:before="60" w:line="360" w:lineRule="auto"/>
        <w:ind w:left="0" w:leftChars="0" w:firstLine="479" w:firstLineChars="226"/>
        <w:rPr>
          <w:rFonts w:eastAsia="Times New Roman"/>
          <w:spacing w:val="-4"/>
        </w:rPr>
      </w:pPr>
      <w:r>
        <w:rPr>
          <w:spacing w:val="-4"/>
          <w:u w:val="single" w:color="auto"/>
        </w:rPr>
        <w:t>②竣工验收完毕后支付剩余咨询费。委托人支付每笔进度款前咨询人应提供等额</w:t>
      </w:r>
      <w:r>
        <w:rPr>
          <w:rFonts w:hint="eastAsia"/>
          <w:spacing w:val="-4"/>
          <w:u w:val="single" w:color="auto"/>
          <w:lang w:eastAsia="zh-CN"/>
        </w:rPr>
        <w:t>的</w:t>
      </w:r>
      <w:r>
        <w:rPr>
          <w:spacing w:val="-4"/>
          <w:u w:val="single" w:color="auto"/>
        </w:rPr>
        <w:t>发票</w:t>
      </w:r>
      <w:r>
        <w:rPr>
          <w:rFonts w:hint="eastAsia"/>
          <w:spacing w:val="-4"/>
          <w:u w:val="single" w:color="auto"/>
          <w:lang w:eastAsia="zh-CN"/>
        </w:rPr>
        <w:t>。</w:t>
      </w:r>
      <w:r>
        <w:rPr>
          <w:rFonts w:eastAsia="Times New Roman"/>
          <w:spacing w:val="-4"/>
          <w:u w:val="single" w:color="auto"/>
        </w:rPr>
        <w:t>否则委</w:t>
      </w:r>
      <w:r>
        <w:rPr>
          <w:rFonts w:eastAsia="Times New Roman"/>
          <w:spacing w:val="-4"/>
          <w:u w:val="single"/>
        </w:rPr>
        <w:t>托</w:t>
      </w:r>
      <w:r>
        <w:rPr>
          <w:rFonts w:eastAsia="Times New Roman"/>
          <w:spacing w:val="-4"/>
        </w:rPr>
        <w:t>人有权不予咨询费且不承担任何违约条件。</w:t>
      </w:r>
    </w:p>
    <w:p>
      <w:pPr>
        <w:pStyle w:val="10"/>
        <w:shd w:val="clear" w:color="auto" w:fill="auto"/>
        <w:spacing w:before="60" w:line="360" w:lineRule="auto"/>
        <w:ind w:left="0" w:leftChars="0" w:firstLine="479" w:firstLineChars="226"/>
        <w:rPr>
          <w:rFonts w:eastAsia="Times New Roman"/>
          <w:spacing w:val="-4"/>
        </w:rPr>
      </w:pPr>
      <w:r>
        <w:rPr>
          <w:rFonts w:eastAsia="Times New Roman"/>
          <w:spacing w:val="-4"/>
        </w:rPr>
        <w:t>第</w:t>
      </w:r>
      <w:r>
        <w:rPr>
          <w:rFonts w:hint="eastAsia" w:eastAsia="宋体"/>
          <w:spacing w:val="-4"/>
          <w:lang w:val="en-US" w:eastAsia="zh-CN"/>
        </w:rPr>
        <w:t>七</w:t>
      </w:r>
      <w:r>
        <w:rPr>
          <w:rFonts w:eastAsia="Times New Roman"/>
          <w:spacing w:val="-4"/>
        </w:rPr>
        <w:t xml:space="preserve">条  </w:t>
      </w:r>
      <w:r>
        <w:rPr>
          <w:rFonts w:hint="eastAsia" w:eastAsia="Times New Roman"/>
          <w:spacing w:val="-4"/>
          <w:lang w:eastAsia="zh-CN"/>
        </w:rPr>
        <w:t>双方</w:t>
      </w:r>
      <w:r>
        <w:rPr>
          <w:rFonts w:eastAsia="Times New Roman"/>
          <w:spacing w:val="-4"/>
        </w:rPr>
        <w:t>同意用人民币支付酬金，按  / 汇率计付。</w:t>
      </w:r>
    </w:p>
    <w:p>
      <w:pPr>
        <w:pStyle w:val="10"/>
        <w:shd w:val="clear" w:color="auto" w:fill="auto"/>
        <w:spacing w:before="60" w:line="360" w:lineRule="auto"/>
        <w:ind w:left="0" w:leftChars="0" w:firstLine="479" w:firstLineChars="226"/>
        <w:rPr>
          <w:rFonts w:eastAsia="Times New Roman"/>
          <w:spacing w:val="-4"/>
        </w:rPr>
      </w:pPr>
      <w:r>
        <w:rPr>
          <w:rFonts w:eastAsia="Times New Roman"/>
          <w:spacing w:val="-4"/>
        </w:rPr>
        <w:t>第</w:t>
      </w:r>
      <w:r>
        <w:rPr>
          <w:rFonts w:hint="eastAsia" w:eastAsia="宋体"/>
          <w:spacing w:val="-4"/>
          <w:lang w:val="en-US" w:eastAsia="zh-CN"/>
        </w:rPr>
        <w:t>八</w:t>
      </w:r>
      <w:r>
        <w:rPr>
          <w:rFonts w:eastAsia="Times New Roman"/>
          <w:spacing w:val="-4"/>
        </w:rPr>
        <w:t>条  建设工程造价咨询合同在履行过程中发生争议，委托人与 咨询人应及时协商解决；如未能达成一致，可提交有关主管部门调解；协商或调解不成的，按下列第</w:t>
      </w:r>
      <w:r>
        <w:rPr>
          <w:rFonts w:eastAsia="Times New Roman"/>
          <w:spacing w:val="-4"/>
          <w:u w:val="single"/>
        </w:rPr>
        <w:t xml:space="preserve">  ( 二 )   </w:t>
      </w:r>
      <w:r>
        <w:rPr>
          <w:rFonts w:eastAsia="Times New Roman"/>
          <w:spacing w:val="-4"/>
        </w:rPr>
        <w:t>_种方式解决：</w:t>
      </w:r>
    </w:p>
    <w:p>
      <w:pPr>
        <w:pStyle w:val="10"/>
        <w:shd w:val="clear" w:color="auto" w:fill="auto"/>
        <w:spacing w:before="60" w:line="360" w:lineRule="auto"/>
        <w:ind w:left="0" w:leftChars="0" w:firstLine="479" w:firstLineChars="226"/>
        <w:rPr>
          <w:rFonts w:eastAsia="Times New Roman"/>
          <w:spacing w:val="-4"/>
        </w:rPr>
      </w:pPr>
      <w:r>
        <w:rPr>
          <w:rFonts w:eastAsia="Times New Roman"/>
          <w:spacing w:val="-4"/>
        </w:rPr>
        <w:t>(一)</w:t>
      </w:r>
      <w:r>
        <w:rPr>
          <w:rFonts w:hint="eastAsia" w:eastAsia="宋体"/>
          <w:spacing w:val="-4"/>
          <w:lang w:val="en-US" w:eastAsia="zh-CN"/>
        </w:rPr>
        <w:t xml:space="preserve"> </w:t>
      </w:r>
      <w:r>
        <w:rPr>
          <w:rFonts w:eastAsia="Times New Roman"/>
          <w:spacing w:val="-4"/>
        </w:rPr>
        <w:t>提交</w:t>
      </w:r>
      <w:r>
        <w:rPr>
          <w:rFonts w:eastAsia="Times New Roman"/>
          <w:spacing w:val="-4"/>
          <w:u w:val="single"/>
        </w:rPr>
        <w:t xml:space="preserve"> </w:t>
      </w:r>
      <w:r>
        <w:rPr>
          <w:rFonts w:hint="eastAsia" w:eastAsia="宋体"/>
          <w:spacing w:val="-4"/>
          <w:u w:val="single"/>
          <w:lang w:val="en-US" w:eastAsia="zh-CN"/>
        </w:rPr>
        <w:t xml:space="preserve"> </w:t>
      </w:r>
      <w:r>
        <w:rPr>
          <w:rFonts w:eastAsia="Times New Roman"/>
          <w:spacing w:val="-4"/>
          <w:u w:val="single"/>
        </w:rPr>
        <w:t xml:space="preserve">  /    </w:t>
      </w:r>
      <w:r>
        <w:rPr>
          <w:rFonts w:hint="eastAsia" w:eastAsia="宋体"/>
          <w:spacing w:val="-4"/>
          <w:u w:val="single"/>
          <w:lang w:val="en-US" w:eastAsia="zh-CN"/>
        </w:rPr>
        <w:t xml:space="preserve"> </w:t>
      </w:r>
      <w:r>
        <w:rPr>
          <w:rFonts w:eastAsia="Times New Roman"/>
          <w:spacing w:val="-4"/>
        </w:rPr>
        <w:t>仲裁委员会仲裁；</w:t>
      </w:r>
    </w:p>
    <w:p>
      <w:pPr>
        <w:pStyle w:val="10"/>
        <w:shd w:val="clear" w:color="auto" w:fill="auto"/>
        <w:spacing w:before="60" w:line="360" w:lineRule="auto"/>
        <w:ind w:left="0" w:leftChars="0" w:firstLine="479" w:firstLineChars="226"/>
        <w:rPr>
          <w:rFonts w:eastAsia="Times New Roman"/>
          <w:spacing w:val="-4"/>
        </w:rPr>
      </w:pPr>
      <w:r>
        <w:rPr>
          <w:rFonts w:eastAsia="Times New Roman"/>
          <w:spacing w:val="-4"/>
        </w:rPr>
        <w:t>(二) 依法向项目所在地人民法院起诉。</w:t>
      </w:r>
    </w:p>
    <w:p>
      <w:pPr>
        <w:spacing w:before="78" w:line="218" w:lineRule="auto"/>
        <w:rPr>
          <w:rFonts w:ascii="宋体" w:hAnsi="宋体" w:eastAsia="宋体" w:cs="宋体"/>
          <w:spacing w:val="-5"/>
          <w:sz w:val="24"/>
          <w:szCs w:val="24"/>
        </w:rPr>
        <w:sectPr>
          <w:footerReference r:id="rId8" w:type="default"/>
          <w:pgSz w:w="11900" w:h="16830"/>
          <w:pgMar w:top="1440" w:right="1080" w:bottom="1440" w:left="1080" w:header="0" w:footer="0" w:gutter="0"/>
          <w:pgNumType w:fmt="decimal"/>
          <w:cols w:space="720" w:num="1"/>
        </w:sectPr>
      </w:pPr>
    </w:p>
    <w:p>
      <w:pPr>
        <w:spacing w:before="262" w:line="184" w:lineRule="auto"/>
        <w:jc w:val="center"/>
        <w:rPr>
          <w:rFonts w:hint="eastAsia" w:ascii="仿宋" w:hAnsi="仿宋" w:eastAsia="仿宋" w:cs="仿宋"/>
          <w:spacing w:val="-1"/>
          <w:sz w:val="28"/>
          <w:szCs w:val="28"/>
        </w:rPr>
      </w:pPr>
      <w:r>
        <w:rPr>
          <w:rFonts w:hint="eastAsia" w:ascii="仿宋" w:hAnsi="仿宋" w:eastAsia="仿宋" w:cs="仿宋"/>
          <w:spacing w:val="-1"/>
          <w:sz w:val="28"/>
          <w:szCs w:val="28"/>
        </w:rPr>
        <w:t>福建省建设工程造价咨询服务收费指导价</w:t>
      </w:r>
    </w:p>
    <w:p>
      <w:pPr>
        <w:spacing w:before="262" w:line="184" w:lineRule="auto"/>
        <w:jc w:val="center"/>
        <w:rPr>
          <w:rFonts w:hint="eastAsia" w:ascii="仿宋" w:hAnsi="仿宋" w:eastAsia="仿宋" w:cs="仿宋"/>
          <w:spacing w:val="-1"/>
          <w:sz w:val="28"/>
          <w:szCs w:val="28"/>
        </w:rPr>
      </w:pPr>
      <w:r>
        <w:rPr>
          <w:rFonts w:hint="eastAsia" w:ascii="仿宋" w:hAnsi="仿宋" w:eastAsia="仿宋" w:cs="仿宋"/>
          <w:spacing w:val="-1"/>
          <w:sz w:val="28"/>
          <w:szCs w:val="28"/>
        </w:rPr>
        <w:t>闽招协</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2021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32 号</w:t>
      </w:r>
    </w:p>
    <w:tbl>
      <w:tblPr>
        <w:tblStyle w:val="40"/>
        <w:tblpPr w:leftFromText="180" w:rightFromText="180" w:vertAnchor="text" w:horzAnchor="page" w:tblpXSpec="center" w:tblpY="121"/>
        <w:tblOverlap w:val="never"/>
        <w:tblW w:w="483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09"/>
        <w:gridCol w:w="2463"/>
        <w:gridCol w:w="1884"/>
        <w:gridCol w:w="1098"/>
        <w:gridCol w:w="1158"/>
        <w:gridCol w:w="1163"/>
        <w:gridCol w:w="1158"/>
        <w:gridCol w:w="1163"/>
        <w:gridCol w:w="1163"/>
        <w:gridCol w:w="1164"/>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85" w:type="pct"/>
            <w:vMerge w:val="restart"/>
            <w:tcBorders>
              <w:bottom w:val="nil"/>
            </w:tcBorders>
            <w:noWrap w:val="0"/>
            <w:vAlign w:val="top"/>
          </w:tcPr>
          <w:p>
            <w:pPr>
              <w:spacing w:line="304" w:lineRule="auto"/>
              <w:rPr>
                <w:rFonts w:hint="eastAsia" w:ascii="仿宋" w:hAnsi="仿宋" w:eastAsia="仿宋" w:cs="仿宋"/>
                <w:sz w:val="21"/>
                <w:szCs w:val="21"/>
              </w:rPr>
            </w:pPr>
          </w:p>
          <w:p>
            <w:pPr>
              <w:spacing w:line="304" w:lineRule="auto"/>
              <w:rPr>
                <w:rFonts w:hint="eastAsia" w:ascii="仿宋" w:hAnsi="仿宋" w:eastAsia="仿宋" w:cs="仿宋"/>
                <w:sz w:val="21"/>
                <w:szCs w:val="21"/>
              </w:rPr>
            </w:pPr>
          </w:p>
          <w:p>
            <w:pPr>
              <w:spacing w:line="305" w:lineRule="auto"/>
              <w:rPr>
                <w:rFonts w:hint="eastAsia" w:ascii="仿宋" w:hAnsi="仿宋" w:eastAsia="仿宋" w:cs="仿宋"/>
                <w:sz w:val="21"/>
                <w:szCs w:val="21"/>
              </w:rPr>
            </w:pPr>
          </w:p>
          <w:p>
            <w:pPr>
              <w:pStyle w:val="41"/>
              <w:spacing w:before="69" w:line="222" w:lineRule="auto"/>
              <w:ind w:left="235"/>
              <w:rPr>
                <w:rFonts w:hint="eastAsia" w:ascii="仿宋" w:hAnsi="仿宋" w:eastAsia="仿宋" w:cs="仿宋"/>
                <w:sz w:val="21"/>
                <w:szCs w:val="21"/>
              </w:rPr>
            </w:pPr>
            <w:r>
              <w:rPr>
                <w:rFonts w:hint="eastAsia" w:ascii="仿宋" w:hAnsi="仿宋" w:eastAsia="仿宋" w:cs="仿宋"/>
                <w:spacing w:val="-2"/>
                <w:sz w:val="21"/>
                <w:szCs w:val="21"/>
              </w:rPr>
              <w:t>序号</w:t>
            </w:r>
          </w:p>
        </w:tc>
        <w:tc>
          <w:tcPr>
            <w:tcW w:w="868" w:type="pct"/>
            <w:vMerge w:val="restart"/>
            <w:tcBorders>
              <w:bottom w:val="nil"/>
            </w:tcBorders>
            <w:noWrap w:val="0"/>
            <w:vAlign w:val="top"/>
          </w:tcPr>
          <w:p>
            <w:pPr>
              <w:spacing w:line="304" w:lineRule="auto"/>
              <w:rPr>
                <w:rFonts w:hint="eastAsia" w:ascii="仿宋" w:hAnsi="仿宋" w:eastAsia="仿宋" w:cs="仿宋"/>
                <w:sz w:val="21"/>
                <w:szCs w:val="21"/>
              </w:rPr>
            </w:pPr>
          </w:p>
          <w:p>
            <w:pPr>
              <w:spacing w:line="305" w:lineRule="auto"/>
              <w:rPr>
                <w:rFonts w:hint="eastAsia" w:ascii="仿宋" w:hAnsi="仿宋" w:eastAsia="仿宋" w:cs="仿宋"/>
                <w:sz w:val="21"/>
                <w:szCs w:val="21"/>
              </w:rPr>
            </w:pPr>
          </w:p>
          <w:p>
            <w:pPr>
              <w:spacing w:line="305" w:lineRule="auto"/>
              <w:rPr>
                <w:rFonts w:hint="eastAsia" w:ascii="仿宋" w:hAnsi="仿宋" w:eastAsia="仿宋" w:cs="仿宋"/>
                <w:sz w:val="21"/>
                <w:szCs w:val="21"/>
              </w:rPr>
            </w:pPr>
          </w:p>
          <w:p>
            <w:pPr>
              <w:pStyle w:val="41"/>
              <w:spacing w:before="68" w:line="221" w:lineRule="auto"/>
              <w:ind w:left="695"/>
              <w:rPr>
                <w:rFonts w:hint="eastAsia" w:ascii="仿宋" w:hAnsi="仿宋" w:eastAsia="仿宋" w:cs="仿宋"/>
                <w:sz w:val="21"/>
                <w:szCs w:val="21"/>
              </w:rPr>
            </w:pPr>
            <w:r>
              <w:rPr>
                <w:rFonts w:hint="eastAsia" w:ascii="仿宋" w:hAnsi="仿宋" w:eastAsia="仿宋" w:cs="仿宋"/>
                <w:spacing w:val="-3"/>
                <w:sz w:val="21"/>
                <w:szCs w:val="21"/>
              </w:rPr>
              <w:t>咨询项目名称</w:t>
            </w:r>
          </w:p>
        </w:tc>
        <w:tc>
          <w:tcPr>
            <w:tcW w:w="664" w:type="pct"/>
            <w:vMerge w:val="restart"/>
            <w:tcBorders>
              <w:bottom w:val="nil"/>
            </w:tcBorders>
            <w:noWrap w:val="0"/>
            <w:vAlign w:val="top"/>
          </w:tcPr>
          <w:p>
            <w:pPr>
              <w:spacing w:line="304" w:lineRule="auto"/>
              <w:rPr>
                <w:rFonts w:hint="eastAsia" w:ascii="仿宋" w:hAnsi="仿宋" w:eastAsia="仿宋" w:cs="仿宋"/>
                <w:sz w:val="21"/>
                <w:szCs w:val="21"/>
              </w:rPr>
            </w:pPr>
          </w:p>
          <w:p>
            <w:pPr>
              <w:spacing w:line="304" w:lineRule="auto"/>
              <w:rPr>
                <w:rFonts w:hint="eastAsia" w:ascii="仿宋" w:hAnsi="仿宋" w:eastAsia="仿宋" w:cs="仿宋"/>
                <w:sz w:val="21"/>
                <w:szCs w:val="21"/>
              </w:rPr>
            </w:pPr>
          </w:p>
          <w:p>
            <w:pPr>
              <w:spacing w:line="305" w:lineRule="auto"/>
              <w:rPr>
                <w:rFonts w:hint="eastAsia" w:ascii="仿宋" w:hAnsi="仿宋" w:eastAsia="仿宋" w:cs="仿宋"/>
                <w:sz w:val="21"/>
                <w:szCs w:val="21"/>
              </w:rPr>
            </w:pPr>
          </w:p>
          <w:p>
            <w:pPr>
              <w:pStyle w:val="41"/>
              <w:spacing w:before="68" w:line="221" w:lineRule="auto"/>
              <w:ind w:left="462"/>
              <w:rPr>
                <w:rFonts w:hint="eastAsia" w:ascii="仿宋" w:hAnsi="仿宋" w:eastAsia="仿宋" w:cs="仿宋"/>
                <w:sz w:val="21"/>
                <w:szCs w:val="21"/>
              </w:rPr>
            </w:pPr>
            <w:r>
              <w:rPr>
                <w:rFonts w:hint="eastAsia" w:ascii="仿宋" w:hAnsi="仿宋" w:eastAsia="仿宋" w:cs="仿宋"/>
                <w:spacing w:val="-2"/>
                <w:sz w:val="21"/>
                <w:szCs w:val="21"/>
              </w:rPr>
              <w:t>工作内容</w:t>
            </w:r>
          </w:p>
        </w:tc>
        <w:tc>
          <w:tcPr>
            <w:tcW w:w="387" w:type="pct"/>
            <w:vMerge w:val="restart"/>
            <w:tcBorders>
              <w:bottom w:val="nil"/>
            </w:tcBorders>
            <w:noWrap w:val="0"/>
            <w:vAlign w:val="top"/>
          </w:tcPr>
          <w:p>
            <w:pPr>
              <w:spacing w:line="244" w:lineRule="auto"/>
              <w:rPr>
                <w:rFonts w:hint="eastAsia" w:ascii="仿宋" w:hAnsi="仿宋" w:eastAsia="仿宋" w:cs="仿宋"/>
                <w:sz w:val="21"/>
                <w:szCs w:val="21"/>
              </w:rPr>
            </w:pPr>
          </w:p>
          <w:p>
            <w:pPr>
              <w:spacing w:line="244" w:lineRule="auto"/>
              <w:rPr>
                <w:rFonts w:hint="eastAsia" w:ascii="仿宋" w:hAnsi="仿宋" w:eastAsia="仿宋" w:cs="仿宋"/>
                <w:sz w:val="21"/>
                <w:szCs w:val="21"/>
              </w:rPr>
            </w:pPr>
          </w:p>
          <w:p>
            <w:pPr>
              <w:spacing w:line="245" w:lineRule="auto"/>
              <w:rPr>
                <w:rFonts w:hint="eastAsia" w:ascii="仿宋" w:hAnsi="仿宋" w:eastAsia="仿宋" w:cs="仿宋"/>
                <w:sz w:val="21"/>
                <w:szCs w:val="21"/>
              </w:rPr>
            </w:pPr>
          </w:p>
          <w:p>
            <w:pPr>
              <w:pStyle w:val="41"/>
              <w:spacing w:before="69" w:line="269" w:lineRule="auto"/>
              <w:ind w:left="409" w:right="190" w:hanging="210"/>
              <w:rPr>
                <w:rFonts w:hint="eastAsia" w:ascii="仿宋" w:hAnsi="仿宋" w:eastAsia="仿宋" w:cs="仿宋"/>
                <w:sz w:val="21"/>
                <w:szCs w:val="21"/>
              </w:rPr>
            </w:pPr>
            <w:r>
              <w:rPr>
                <w:rFonts w:hint="eastAsia" w:ascii="仿宋" w:hAnsi="仿宋" w:eastAsia="仿宋" w:cs="仿宋"/>
                <w:spacing w:val="-2"/>
                <w:sz w:val="21"/>
                <w:szCs w:val="21"/>
              </w:rPr>
              <w:t>计费基</w:t>
            </w:r>
            <w:r>
              <w:rPr>
                <w:rFonts w:hint="eastAsia" w:ascii="仿宋" w:hAnsi="仿宋" w:eastAsia="仿宋" w:cs="仿宋"/>
                <w:sz w:val="21"/>
                <w:szCs w:val="21"/>
              </w:rPr>
              <w:t xml:space="preserve"> 数</w:t>
            </w:r>
          </w:p>
        </w:tc>
        <w:tc>
          <w:tcPr>
            <w:tcW w:w="2794" w:type="pct"/>
            <w:gridSpan w:val="7"/>
            <w:noWrap w:val="0"/>
            <w:vAlign w:val="top"/>
          </w:tcPr>
          <w:p>
            <w:pPr>
              <w:pStyle w:val="41"/>
              <w:spacing w:before="79" w:line="221" w:lineRule="auto"/>
              <w:ind w:left="2849"/>
              <w:rPr>
                <w:rFonts w:hint="eastAsia" w:ascii="仿宋" w:hAnsi="仿宋" w:eastAsia="仿宋" w:cs="仿宋"/>
                <w:sz w:val="21"/>
                <w:szCs w:val="21"/>
              </w:rPr>
            </w:pPr>
            <w:r>
              <w:rPr>
                <w:rFonts w:hint="eastAsia" w:ascii="仿宋" w:hAnsi="仿宋" w:eastAsia="仿宋" w:cs="仿宋"/>
                <w:spacing w:val="-4"/>
                <w:sz w:val="21"/>
                <w:szCs w:val="21"/>
              </w:rPr>
              <w:t>费率（单位：‰）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jc w:val="center"/>
        </w:trPr>
        <w:tc>
          <w:tcPr>
            <w:tcW w:w="285" w:type="pct"/>
            <w:vMerge w:val="continue"/>
            <w:tcBorders>
              <w:top w:val="nil"/>
            </w:tcBorders>
            <w:noWrap w:val="0"/>
            <w:vAlign w:val="top"/>
          </w:tcPr>
          <w:p>
            <w:pPr>
              <w:rPr>
                <w:rFonts w:hint="eastAsia" w:ascii="仿宋" w:hAnsi="仿宋" w:eastAsia="仿宋" w:cs="仿宋"/>
                <w:sz w:val="21"/>
                <w:szCs w:val="21"/>
              </w:rPr>
            </w:pPr>
          </w:p>
        </w:tc>
        <w:tc>
          <w:tcPr>
            <w:tcW w:w="868" w:type="pct"/>
            <w:vMerge w:val="continue"/>
            <w:tcBorders>
              <w:top w:val="nil"/>
            </w:tcBorders>
            <w:noWrap w:val="0"/>
            <w:vAlign w:val="top"/>
          </w:tcPr>
          <w:p>
            <w:pPr>
              <w:rPr>
                <w:rFonts w:hint="eastAsia" w:ascii="仿宋" w:hAnsi="仿宋" w:eastAsia="仿宋" w:cs="仿宋"/>
                <w:sz w:val="21"/>
                <w:szCs w:val="21"/>
              </w:rPr>
            </w:pPr>
          </w:p>
        </w:tc>
        <w:tc>
          <w:tcPr>
            <w:tcW w:w="664" w:type="pct"/>
            <w:vMerge w:val="continue"/>
            <w:tcBorders>
              <w:top w:val="nil"/>
            </w:tcBorders>
            <w:noWrap w:val="0"/>
            <w:vAlign w:val="top"/>
          </w:tcPr>
          <w:p>
            <w:pPr>
              <w:rPr>
                <w:rFonts w:hint="eastAsia" w:ascii="仿宋" w:hAnsi="仿宋" w:eastAsia="仿宋" w:cs="仿宋"/>
                <w:sz w:val="21"/>
                <w:szCs w:val="21"/>
              </w:rPr>
            </w:pPr>
          </w:p>
        </w:tc>
        <w:tc>
          <w:tcPr>
            <w:tcW w:w="387" w:type="pct"/>
            <w:vMerge w:val="continue"/>
            <w:tcBorders>
              <w:top w:val="nil"/>
            </w:tcBorders>
            <w:noWrap w:val="0"/>
            <w:vAlign w:val="top"/>
          </w:tcPr>
          <w:p>
            <w:pPr>
              <w:rPr>
                <w:rFonts w:hint="eastAsia" w:ascii="仿宋" w:hAnsi="仿宋" w:eastAsia="仿宋" w:cs="仿宋"/>
                <w:sz w:val="21"/>
                <w:szCs w:val="21"/>
              </w:rPr>
            </w:pPr>
          </w:p>
        </w:tc>
        <w:tc>
          <w:tcPr>
            <w:tcW w:w="408" w:type="pct"/>
            <w:noWrap w:val="0"/>
            <w:vAlign w:val="top"/>
          </w:tcPr>
          <w:p>
            <w:pPr>
              <w:pStyle w:val="41"/>
              <w:spacing w:before="257" w:line="269" w:lineRule="auto"/>
              <w:ind w:left="148" w:right="114" w:firstLine="6"/>
              <w:rPr>
                <w:rFonts w:hint="eastAsia" w:ascii="仿宋" w:hAnsi="仿宋" w:eastAsia="仿宋" w:cs="仿宋"/>
                <w:sz w:val="21"/>
                <w:szCs w:val="21"/>
              </w:rPr>
            </w:pPr>
            <w:r>
              <w:rPr>
                <w:rFonts w:hint="eastAsia" w:ascii="仿宋" w:hAnsi="仿宋" w:eastAsia="仿宋" w:cs="仿宋"/>
                <w:spacing w:val="-5"/>
                <w:sz w:val="21"/>
                <w:szCs w:val="21"/>
              </w:rPr>
              <w:t>500</w:t>
            </w:r>
            <w:r>
              <w:rPr>
                <w:rFonts w:hint="eastAsia" w:ascii="仿宋" w:hAnsi="仿宋" w:eastAsia="仿宋" w:cs="仿宋"/>
                <w:spacing w:val="-39"/>
                <w:sz w:val="21"/>
                <w:szCs w:val="21"/>
              </w:rPr>
              <w:t xml:space="preserve"> </w:t>
            </w:r>
            <w:r>
              <w:rPr>
                <w:rFonts w:hint="eastAsia" w:ascii="仿宋" w:hAnsi="仿宋" w:eastAsia="仿宋" w:cs="仿宋"/>
                <w:spacing w:val="-5"/>
                <w:sz w:val="21"/>
                <w:szCs w:val="21"/>
              </w:rPr>
              <w:t>万元</w:t>
            </w:r>
            <w:r>
              <w:rPr>
                <w:rFonts w:hint="eastAsia" w:ascii="仿宋" w:hAnsi="仿宋" w:eastAsia="仿宋" w:cs="仿宋"/>
                <w:sz w:val="21"/>
                <w:szCs w:val="21"/>
              </w:rPr>
              <w:t xml:space="preserve"> </w:t>
            </w:r>
            <w:r>
              <w:rPr>
                <w:rFonts w:hint="eastAsia" w:ascii="仿宋" w:hAnsi="仿宋" w:eastAsia="仿宋" w:cs="仿宋"/>
                <w:spacing w:val="-8"/>
                <w:sz w:val="21"/>
                <w:szCs w:val="21"/>
              </w:rPr>
              <w:t>以下（含</w:t>
            </w:r>
          </w:p>
          <w:p>
            <w:pPr>
              <w:pStyle w:val="41"/>
              <w:spacing w:before="109" w:line="360" w:lineRule="exact"/>
              <w:ind w:left="258"/>
              <w:rPr>
                <w:rFonts w:hint="eastAsia" w:ascii="仿宋" w:hAnsi="仿宋" w:eastAsia="仿宋" w:cs="仿宋"/>
                <w:sz w:val="21"/>
                <w:szCs w:val="21"/>
              </w:rPr>
            </w:pPr>
            <w:r>
              <w:rPr>
                <w:rFonts w:hint="eastAsia" w:ascii="仿宋" w:hAnsi="仿宋" w:eastAsia="仿宋" w:cs="仿宋"/>
                <w:spacing w:val="-3"/>
                <w:position w:val="11"/>
                <w:sz w:val="21"/>
                <w:szCs w:val="21"/>
              </w:rPr>
              <w:t>500</w:t>
            </w:r>
            <w:r>
              <w:rPr>
                <w:rFonts w:hint="eastAsia" w:ascii="仿宋" w:hAnsi="仿宋" w:eastAsia="仿宋" w:cs="仿宋"/>
                <w:spacing w:val="-39"/>
                <w:position w:val="11"/>
                <w:sz w:val="21"/>
                <w:szCs w:val="21"/>
              </w:rPr>
              <w:t xml:space="preserve"> </w:t>
            </w:r>
            <w:r>
              <w:rPr>
                <w:rFonts w:hint="eastAsia" w:ascii="仿宋" w:hAnsi="仿宋" w:eastAsia="仿宋" w:cs="仿宋"/>
                <w:spacing w:val="-3"/>
                <w:position w:val="11"/>
                <w:sz w:val="21"/>
                <w:szCs w:val="21"/>
              </w:rPr>
              <w:t>万</w:t>
            </w:r>
          </w:p>
          <w:p>
            <w:pPr>
              <w:pStyle w:val="41"/>
              <w:spacing w:line="221" w:lineRule="auto"/>
              <w:ind w:left="335"/>
              <w:rPr>
                <w:rFonts w:hint="eastAsia" w:ascii="仿宋" w:hAnsi="仿宋" w:eastAsia="仿宋" w:cs="仿宋"/>
                <w:sz w:val="21"/>
                <w:szCs w:val="21"/>
              </w:rPr>
            </w:pPr>
            <w:r>
              <w:rPr>
                <w:rFonts w:hint="eastAsia" w:ascii="仿宋" w:hAnsi="仿宋" w:eastAsia="仿宋" w:cs="仿宋"/>
                <w:spacing w:val="-6"/>
                <w:sz w:val="21"/>
                <w:szCs w:val="21"/>
              </w:rPr>
              <w:t>元）</w:t>
            </w:r>
          </w:p>
        </w:tc>
        <w:tc>
          <w:tcPr>
            <w:tcW w:w="410" w:type="pct"/>
            <w:noWrap w:val="0"/>
            <w:vAlign w:val="top"/>
          </w:tcPr>
          <w:p>
            <w:pPr>
              <w:pStyle w:val="41"/>
              <w:spacing w:before="292" w:line="183" w:lineRule="auto"/>
              <w:ind w:left="130"/>
              <w:rPr>
                <w:rFonts w:hint="eastAsia" w:ascii="仿宋" w:hAnsi="仿宋" w:eastAsia="仿宋" w:cs="仿宋"/>
                <w:sz w:val="21"/>
                <w:szCs w:val="21"/>
              </w:rPr>
            </w:pPr>
            <w:r>
              <w:rPr>
                <w:rFonts w:hint="eastAsia" w:ascii="仿宋" w:hAnsi="仿宋" w:eastAsia="仿宋" w:cs="仿宋"/>
                <w:spacing w:val="-2"/>
                <w:sz w:val="21"/>
                <w:szCs w:val="21"/>
              </w:rPr>
              <w:t>500-1000</w:t>
            </w:r>
          </w:p>
          <w:p>
            <w:pPr>
              <w:pStyle w:val="41"/>
              <w:spacing w:before="117" w:line="221" w:lineRule="auto"/>
              <w:ind w:left="131"/>
              <w:rPr>
                <w:rFonts w:hint="eastAsia" w:ascii="仿宋" w:hAnsi="仿宋" w:eastAsia="仿宋" w:cs="仿宋"/>
                <w:sz w:val="21"/>
                <w:szCs w:val="21"/>
              </w:rPr>
            </w:pPr>
            <w:r>
              <w:rPr>
                <w:rFonts w:hint="eastAsia" w:ascii="仿宋" w:hAnsi="仿宋" w:eastAsia="仿宋" w:cs="仿宋"/>
                <w:spacing w:val="-3"/>
                <w:sz w:val="21"/>
                <w:szCs w:val="21"/>
              </w:rPr>
              <w:t>万元（含</w:t>
            </w:r>
          </w:p>
          <w:p>
            <w:pPr>
              <w:pStyle w:val="41"/>
              <w:spacing w:before="108" w:line="269" w:lineRule="auto"/>
              <w:ind w:left="335" w:right="193" w:hanging="115"/>
              <w:rPr>
                <w:rFonts w:hint="eastAsia" w:ascii="仿宋" w:hAnsi="仿宋" w:eastAsia="仿宋" w:cs="仿宋"/>
                <w:sz w:val="21"/>
                <w:szCs w:val="21"/>
              </w:rPr>
            </w:pPr>
            <w:r>
              <w:rPr>
                <w:rFonts w:hint="eastAsia" w:ascii="仿宋" w:hAnsi="仿宋" w:eastAsia="仿宋" w:cs="仿宋"/>
                <w:spacing w:val="-7"/>
                <w:sz w:val="21"/>
                <w:szCs w:val="21"/>
              </w:rPr>
              <w:t>1000</w:t>
            </w:r>
            <w:r>
              <w:rPr>
                <w:rFonts w:hint="eastAsia" w:ascii="仿宋" w:hAnsi="仿宋" w:eastAsia="仿宋" w:cs="仿宋"/>
                <w:spacing w:val="-41"/>
                <w:sz w:val="21"/>
                <w:szCs w:val="21"/>
              </w:rPr>
              <w:t xml:space="preserve"> </w:t>
            </w:r>
            <w:r>
              <w:rPr>
                <w:rFonts w:hint="eastAsia" w:ascii="仿宋" w:hAnsi="仿宋" w:eastAsia="仿宋" w:cs="仿宋"/>
                <w:spacing w:val="-7"/>
                <w:sz w:val="21"/>
                <w:szCs w:val="21"/>
              </w:rPr>
              <w:t>万</w:t>
            </w:r>
            <w:r>
              <w:rPr>
                <w:rFonts w:hint="eastAsia" w:ascii="仿宋" w:hAnsi="仿宋" w:eastAsia="仿宋" w:cs="仿宋"/>
                <w:sz w:val="21"/>
                <w:szCs w:val="21"/>
              </w:rPr>
              <w:t xml:space="preserve"> </w:t>
            </w:r>
            <w:r>
              <w:rPr>
                <w:rFonts w:hint="eastAsia" w:ascii="仿宋" w:hAnsi="仿宋" w:eastAsia="仿宋" w:cs="仿宋"/>
                <w:spacing w:val="-6"/>
                <w:sz w:val="21"/>
                <w:szCs w:val="21"/>
              </w:rPr>
              <w:t>元）</w:t>
            </w:r>
          </w:p>
        </w:tc>
        <w:tc>
          <w:tcPr>
            <w:tcW w:w="408" w:type="pct"/>
            <w:noWrap w:val="0"/>
            <w:vAlign w:val="top"/>
          </w:tcPr>
          <w:p>
            <w:pPr>
              <w:pStyle w:val="41"/>
              <w:spacing w:before="111" w:line="275" w:lineRule="auto"/>
              <w:ind w:left="257" w:right="113" w:hanging="115"/>
              <w:rPr>
                <w:rFonts w:hint="eastAsia" w:ascii="仿宋" w:hAnsi="仿宋" w:eastAsia="仿宋" w:cs="仿宋"/>
                <w:sz w:val="21"/>
                <w:szCs w:val="21"/>
              </w:rPr>
            </w:pPr>
            <w:r>
              <w:rPr>
                <w:rFonts w:hint="eastAsia" w:ascii="仿宋" w:hAnsi="仿宋" w:eastAsia="仿宋" w:cs="仿宋"/>
                <w:spacing w:val="-3"/>
                <w:sz w:val="21"/>
                <w:szCs w:val="21"/>
              </w:rPr>
              <w:t>1000-500</w:t>
            </w:r>
            <w:r>
              <w:rPr>
                <w:rFonts w:hint="eastAsia" w:ascii="仿宋" w:hAnsi="仿宋" w:eastAsia="仿宋" w:cs="仿宋"/>
                <w:spacing w:val="1"/>
                <w:sz w:val="21"/>
                <w:szCs w:val="21"/>
              </w:rPr>
              <w:t xml:space="preserve"> </w:t>
            </w:r>
            <w:r>
              <w:rPr>
                <w:rFonts w:hint="eastAsia" w:ascii="仿宋" w:hAnsi="仿宋" w:eastAsia="仿宋" w:cs="仿宋"/>
                <w:spacing w:val="-7"/>
                <w:sz w:val="21"/>
                <w:szCs w:val="21"/>
              </w:rPr>
              <w:t>0</w:t>
            </w:r>
            <w:r>
              <w:rPr>
                <w:rFonts w:hint="eastAsia" w:ascii="仿宋" w:hAnsi="仿宋" w:eastAsia="仿宋" w:cs="仿宋"/>
                <w:spacing w:val="-39"/>
                <w:sz w:val="21"/>
                <w:szCs w:val="21"/>
              </w:rPr>
              <w:t xml:space="preserve"> </w:t>
            </w:r>
            <w:r>
              <w:rPr>
                <w:rFonts w:hint="eastAsia" w:ascii="仿宋" w:hAnsi="仿宋" w:eastAsia="仿宋" w:cs="仿宋"/>
                <w:spacing w:val="-7"/>
                <w:sz w:val="21"/>
                <w:szCs w:val="21"/>
              </w:rPr>
              <w:t>万元</w:t>
            </w:r>
            <w:r>
              <w:rPr>
                <w:rFonts w:hint="eastAsia" w:ascii="仿宋" w:hAnsi="仿宋" w:eastAsia="仿宋" w:cs="仿宋"/>
                <w:sz w:val="21"/>
                <w:szCs w:val="21"/>
              </w:rPr>
              <w:t xml:space="preserve">  </w:t>
            </w:r>
            <w:r>
              <w:rPr>
                <w:rFonts w:hint="eastAsia" w:ascii="仿宋" w:hAnsi="仿宋" w:eastAsia="仿宋" w:cs="仿宋"/>
                <w:spacing w:val="30"/>
                <w:sz w:val="21"/>
                <w:szCs w:val="21"/>
              </w:rPr>
              <w:t>（含</w:t>
            </w:r>
          </w:p>
          <w:p>
            <w:pPr>
              <w:pStyle w:val="41"/>
              <w:spacing w:before="108" w:line="269" w:lineRule="auto"/>
              <w:ind w:left="336" w:right="192" w:hanging="127"/>
              <w:rPr>
                <w:rFonts w:hint="eastAsia" w:ascii="仿宋" w:hAnsi="仿宋" w:eastAsia="仿宋" w:cs="仿宋"/>
                <w:sz w:val="21"/>
                <w:szCs w:val="21"/>
              </w:rPr>
            </w:pPr>
            <w:r>
              <w:rPr>
                <w:rFonts w:hint="eastAsia" w:ascii="仿宋" w:hAnsi="仿宋" w:eastAsia="仿宋" w:cs="仿宋"/>
                <w:spacing w:val="-5"/>
                <w:sz w:val="21"/>
                <w:szCs w:val="21"/>
              </w:rPr>
              <w:t>5000</w:t>
            </w:r>
            <w:r>
              <w:rPr>
                <w:rFonts w:hint="eastAsia" w:ascii="仿宋" w:hAnsi="仿宋" w:eastAsia="仿宋" w:cs="仿宋"/>
                <w:spacing w:val="-40"/>
                <w:sz w:val="21"/>
                <w:szCs w:val="21"/>
              </w:rPr>
              <w:t xml:space="preserve"> </w:t>
            </w:r>
            <w:r>
              <w:rPr>
                <w:rFonts w:hint="eastAsia" w:ascii="仿宋" w:hAnsi="仿宋" w:eastAsia="仿宋" w:cs="仿宋"/>
                <w:spacing w:val="-5"/>
                <w:sz w:val="21"/>
                <w:szCs w:val="21"/>
              </w:rPr>
              <w:t>万</w:t>
            </w:r>
            <w:r>
              <w:rPr>
                <w:rFonts w:hint="eastAsia" w:ascii="仿宋" w:hAnsi="仿宋" w:eastAsia="仿宋" w:cs="仿宋"/>
                <w:sz w:val="21"/>
                <w:szCs w:val="21"/>
              </w:rPr>
              <w:t xml:space="preserve"> </w:t>
            </w:r>
            <w:r>
              <w:rPr>
                <w:rFonts w:hint="eastAsia" w:ascii="仿宋" w:hAnsi="仿宋" w:eastAsia="仿宋" w:cs="仿宋"/>
                <w:spacing w:val="-6"/>
                <w:sz w:val="21"/>
                <w:szCs w:val="21"/>
              </w:rPr>
              <w:t>元）</w:t>
            </w:r>
          </w:p>
        </w:tc>
        <w:tc>
          <w:tcPr>
            <w:tcW w:w="410" w:type="pct"/>
            <w:noWrap w:val="0"/>
            <w:vAlign w:val="top"/>
          </w:tcPr>
          <w:p>
            <w:pPr>
              <w:pStyle w:val="41"/>
              <w:spacing w:before="257" w:line="293" w:lineRule="auto"/>
              <w:ind w:left="155" w:right="139" w:firstLine="55"/>
              <w:jc w:val="both"/>
              <w:rPr>
                <w:rFonts w:hint="eastAsia" w:ascii="仿宋" w:hAnsi="仿宋" w:eastAsia="仿宋" w:cs="仿宋"/>
                <w:sz w:val="21"/>
                <w:szCs w:val="21"/>
              </w:rPr>
            </w:pPr>
            <w:r>
              <w:rPr>
                <w:rFonts w:hint="eastAsia" w:ascii="仿宋" w:hAnsi="仿宋" w:eastAsia="仿宋" w:cs="仿宋"/>
                <w:spacing w:val="-5"/>
                <w:sz w:val="21"/>
                <w:szCs w:val="21"/>
              </w:rPr>
              <w:t>5000</w:t>
            </w:r>
            <w:r>
              <w:rPr>
                <w:rFonts w:hint="eastAsia" w:ascii="仿宋" w:hAnsi="仿宋" w:eastAsia="仿宋" w:cs="仿宋"/>
                <w:spacing w:val="-40"/>
                <w:sz w:val="21"/>
                <w:szCs w:val="21"/>
              </w:rPr>
              <w:t xml:space="preserve"> </w:t>
            </w:r>
            <w:r>
              <w:rPr>
                <w:rFonts w:hint="eastAsia" w:ascii="仿宋" w:hAnsi="仿宋" w:eastAsia="仿宋" w:cs="仿宋"/>
                <w:spacing w:val="-5"/>
                <w:sz w:val="21"/>
                <w:szCs w:val="21"/>
              </w:rPr>
              <w:t>万</w:t>
            </w:r>
            <w:r>
              <w:rPr>
                <w:rFonts w:hint="eastAsia" w:ascii="仿宋" w:hAnsi="仿宋" w:eastAsia="仿宋" w:cs="仿宋"/>
                <w:sz w:val="21"/>
                <w:szCs w:val="21"/>
              </w:rPr>
              <w:t xml:space="preserve"> </w:t>
            </w:r>
            <w:r>
              <w:rPr>
                <w:rFonts w:hint="eastAsia" w:ascii="仿宋" w:hAnsi="仿宋" w:eastAsia="仿宋" w:cs="仿宋"/>
                <w:spacing w:val="9"/>
                <w:sz w:val="21"/>
                <w:szCs w:val="21"/>
              </w:rPr>
              <w:t>元-1</w:t>
            </w:r>
            <w:r>
              <w:rPr>
                <w:rFonts w:hint="eastAsia" w:ascii="仿宋" w:hAnsi="仿宋" w:eastAsia="仿宋" w:cs="仿宋"/>
                <w:spacing w:val="-46"/>
                <w:sz w:val="21"/>
                <w:szCs w:val="21"/>
              </w:rPr>
              <w:t xml:space="preserve"> </w:t>
            </w:r>
            <w:r>
              <w:rPr>
                <w:rFonts w:hint="eastAsia" w:ascii="仿宋" w:hAnsi="仿宋" w:eastAsia="仿宋" w:cs="仿宋"/>
                <w:spacing w:val="9"/>
                <w:sz w:val="21"/>
                <w:szCs w:val="21"/>
              </w:rPr>
              <w:t>亿</w:t>
            </w:r>
            <w:r>
              <w:rPr>
                <w:rFonts w:hint="eastAsia" w:ascii="仿宋" w:hAnsi="仿宋" w:eastAsia="仿宋" w:cs="仿宋"/>
                <w:sz w:val="21"/>
                <w:szCs w:val="21"/>
              </w:rPr>
              <w:t xml:space="preserve"> </w:t>
            </w:r>
            <w:r>
              <w:rPr>
                <w:rFonts w:hint="eastAsia" w:ascii="仿宋" w:hAnsi="仿宋" w:eastAsia="仿宋" w:cs="仿宋"/>
                <w:spacing w:val="-8"/>
                <w:sz w:val="21"/>
                <w:szCs w:val="21"/>
              </w:rPr>
              <w:t>元（含</w:t>
            </w:r>
            <w:r>
              <w:rPr>
                <w:rFonts w:hint="eastAsia" w:ascii="仿宋" w:hAnsi="仿宋" w:eastAsia="仿宋" w:cs="仿宋"/>
                <w:spacing w:val="-29"/>
                <w:sz w:val="21"/>
                <w:szCs w:val="21"/>
              </w:rPr>
              <w:t xml:space="preserve"> </w:t>
            </w:r>
            <w:r>
              <w:rPr>
                <w:rFonts w:hint="eastAsia" w:ascii="仿宋" w:hAnsi="仿宋" w:eastAsia="仿宋" w:cs="仿宋"/>
                <w:spacing w:val="-8"/>
                <w:sz w:val="21"/>
                <w:szCs w:val="21"/>
              </w:rPr>
              <w:t>1</w:t>
            </w:r>
            <w:r>
              <w:rPr>
                <w:rFonts w:hint="eastAsia" w:ascii="仿宋" w:hAnsi="仿宋" w:eastAsia="仿宋" w:cs="仿宋"/>
                <w:sz w:val="21"/>
                <w:szCs w:val="21"/>
              </w:rPr>
              <w:t xml:space="preserve"> </w:t>
            </w:r>
            <w:r>
              <w:rPr>
                <w:rFonts w:hint="eastAsia" w:ascii="仿宋" w:hAnsi="仿宋" w:eastAsia="仿宋" w:cs="仿宋"/>
                <w:spacing w:val="18"/>
                <w:sz w:val="21"/>
                <w:szCs w:val="21"/>
              </w:rPr>
              <w:t>亿元）</w:t>
            </w:r>
          </w:p>
        </w:tc>
        <w:tc>
          <w:tcPr>
            <w:tcW w:w="410" w:type="pct"/>
            <w:noWrap w:val="0"/>
            <w:vAlign w:val="top"/>
          </w:tcPr>
          <w:p>
            <w:pPr>
              <w:spacing w:line="368" w:lineRule="auto"/>
              <w:rPr>
                <w:rFonts w:hint="eastAsia" w:ascii="仿宋" w:hAnsi="仿宋" w:eastAsia="仿宋" w:cs="仿宋"/>
                <w:sz w:val="21"/>
                <w:szCs w:val="21"/>
              </w:rPr>
            </w:pPr>
          </w:p>
          <w:p>
            <w:pPr>
              <w:pStyle w:val="41"/>
              <w:spacing w:before="68" w:line="221" w:lineRule="auto"/>
              <w:ind w:left="169"/>
              <w:rPr>
                <w:rFonts w:hint="eastAsia" w:ascii="仿宋" w:hAnsi="仿宋" w:eastAsia="仿宋" w:cs="仿宋"/>
                <w:sz w:val="21"/>
                <w:szCs w:val="21"/>
              </w:rPr>
            </w:pPr>
            <w:r>
              <w:rPr>
                <w:rFonts w:hint="eastAsia" w:ascii="仿宋" w:hAnsi="仿宋" w:eastAsia="仿宋" w:cs="仿宋"/>
                <w:spacing w:val="-6"/>
                <w:sz w:val="21"/>
                <w:szCs w:val="21"/>
              </w:rPr>
              <w:t>1-3</w:t>
            </w:r>
            <w:r>
              <w:rPr>
                <w:rFonts w:hint="eastAsia" w:ascii="仿宋" w:hAnsi="仿宋" w:eastAsia="仿宋" w:cs="仿宋"/>
                <w:spacing w:val="-41"/>
                <w:sz w:val="21"/>
                <w:szCs w:val="21"/>
              </w:rPr>
              <w:t xml:space="preserve"> </w:t>
            </w:r>
            <w:r>
              <w:rPr>
                <w:rFonts w:hint="eastAsia" w:ascii="仿宋" w:hAnsi="仿宋" w:eastAsia="仿宋" w:cs="仿宋"/>
                <w:spacing w:val="-6"/>
                <w:sz w:val="21"/>
                <w:szCs w:val="21"/>
              </w:rPr>
              <w:t>亿元</w:t>
            </w:r>
          </w:p>
          <w:p>
            <w:pPr>
              <w:pStyle w:val="41"/>
              <w:spacing w:before="108" w:line="269" w:lineRule="auto"/>
              <w:ind w:left="337" w:right="113" w:hanging="204"/>
              <w:rPr>
                <w:rFonts w:hint="eastAsia" w:ascii="仿宋" w:hAnsi="仿宋" w:eastAsia="仿宋" w:cs="仿宋"/>
                <w:sz w:val="21"/>
                <w:szCs w:val="21"/>
              </w:rPr>
            </w:pPr>
            <w:r>
              <w:rPr>
                <w:rFonts w:hint="eastAsia" w:ascii="仿宋" w:hAnsi="仿宋" w:eastAsia="仿宋" w:cs="仿宋"/>
                <w:spacing w:val="-11"/>
                <w:sz w:val="21"/>
                <w:szCs w:val="21"/>
              </w:rPr>
              <w:t>（含</w:t>
            </w:r>
            <w:r>
              <w:rPr>
                <w:rFonts w:hint="eastAsia" w:ascii="仿宋" w:hAnsi="仿宋" w:eastAsia="仿宋" w:cs="仿宋"/>
                <w:spacing w:val="-29"/>
                <w:sz w:val="21"/>
                <w:szCs w:val="21"/>
              </w:rPr>
              <w:t xml:space="preserve"> </w:t>
            </w:r>
            <w:r>
              <w:rPr>
                <w:rFonts w:hint="eastAsia" w:ascii="仿宋" w:hAnsi="仿宋" w:eastAsia="仿宋" w:cs="仿宋"/>
                <w:spacing w:val="-11"/>
                <w:sz w:val="21"/>
                <w:szCs w:val="21"/>
              </w:rPr>
              <w:t>3</w:t>
            </w:r>
            <w:r>
              <w:rPr>
                <w:rFonts w:hint="eastAsia" w:ascii="仿宋" w:hAnsi="仿宋" w:eastAsia="仿宋" w:cs="仿宋"/>
                <w:spacing w:val="-46"/>
                <w:sz w:val="21"/>
                <w:szCs w:val="21"/>
              </w:rPr>
              <w:t xml:space="preserve"> </w:t>
            </w:r>
            <w:r>
              <w:rPr>
                <w:rFonts w:hint="eastAsia" w:ascii="仿宋" w:hAnsi="仿宋" w:eastAsia="仿宋" w:cs="仿宋"/>
                <w:spacing w:val="-11"/>
                <w:sz w:val="21"/>
                <w:szCs w:val="21"/>
              </w:rPr>
              <w:t>亿</w:t>
            </w:r>
            <w:r>
              <w:rPr>
                <w:rFonts w:hint="eastAsia" w:ascii="仿宋" w:hAnsi="仿宋" w:eastAsia="仿宋" w:cs="仿宋"/>
                <w:sz w:val="21"/>
                <w:szCs w:val="21"/>
              </w:rPr>
              <w:t xml:space="preserve"> </w:t>
            </w:r>
            <w:r>
              <w:rPr>
                <w:rFonts w:hint="eastAsia" w:ascii="仿宋" w:hAnsi="仿宋" w:eastAsia="仿宋" w:cs="仿宋"/>
                <w:spacing w:val="-6"/>
                <w:sz w:val="21"/>
                <w:szCs w:val="21"/>
              </w:rPr>
              <w:t>元）</w:t>
            </w:r>
          </w:p>
        </w:tc>
        <w:tc>
          <w:tcPr>
            <w:tcW w:w="410" w:type="pct"/>
            <w:noWrap w:val="0"/>
            <w:vAlign w:val="top"/>
          </w:tcPr>
          <w:p>
            <w:pPr>
              <w:spacing w:line="368" w:lineRule="auto"/>
              <w:rPr>
                <w:rFonts w:hint="eastAsia" w:ascii="仿宋" w:hAnsi="仿宋" w:eastAsia="仿宋" w:cs="仿宋"/>
                <w:sz w:val="21"/>
                <w:szCs w:val="21"/>
              </w:rPr>
            </w:pPr>
          </w:p>
          <w:p>
            <w:pPr>
              <w:pStyle w:val="41"/>
              <w:spacing w:before="68" w:line="221" w:lineRule="auto"/>
              <w:ind w:left="158"/>
              <w:rPr>
                <w:rFonts w:hint="eastAsia" w:ascii="仿宋" w:hAnsi="仿宋" w:eastAsia="仿宋" w:cs="仿宋"/>
                <w:sz w:val="21"/>
                <w:szCs w:val="21"/>
              </w:rPr>
            </w:pPr>
            <w:r>
              <w:rPr>
                <w:rFonts w:hint="eastAsia" w:ascii="仿宋" w:hAnsi="仿宋" w:eastAsia="仿宋" w:cs="仿宋"/>
                <w:spacing w:val="-4"/>
                <w:sz w:val="21"/>
                <w:szCs w:val="21"/>
              </w:rPr>
              <w:t>3-5</w:t>
            </w:r>
            <w:r>
              <w:rPr>
                <w:rFonts w:hint="eastAsia" w:ascii="仿宋" w:hAnsi="仿宋" w:eastAsia="仿宋" w:cs="仿宋"/>
                <w:spacing w:val="-40"/>
                <w:sz w:val="21"/>
                <w:szCs w:val="21"/>
              </w:rPr>
              <w:t xml:space="preserve"> </w:t>
            </w:r>
            <w:r>
              <w:rPr>
                <w:rFonts w:hint="eastAsia" w:ascii="仿宋" w:hAnsi="仿宋" w:eastAsia="仿宋" w:cs="仿宋"/>
                <w:spacing w:val="-4"/>
                <w:sz w:val="21"/>
                <w:szCs w:val="21"/>
              </w:rPr>
              <w:t>亿元</w:t>
            </w:r>
          </w:p>
          <w:p>
            <w:pPr>
              <w:pStyle w:val="41"/>
              <w:spacing w:before="108" w:line="269" w:lineRule="auto"/>
              <w:ind w:left="338" w:right="112" w:hanging="204"/>
              <w:rPr>
                <w:rFonts w:hint="eastAsia" w:ascii="仿宋" w:hAnsi="仿宋" w:eastAsia="仿宋" w:cs="仿宋"/>
                <w:sz w:val="21"/>
                <w:szCs w:val="21"/>
              </w:rPr>
            </w:pPr>
            <w:r>
              <w:rPr>
                <w:rFonts w:hint="eastAsia" w:ascii="仿宋" w:hAnsi="仿宋" w:eastAsia="仿宋" w:cs="仿宋"/>
                <w:spacing w:val="-11"/>
                <w:sz w:val="21"/>
                <w:szCs w:val="21"/>
              </w:rPr>
              <w:t>（含</w:t>
            </w:r>
            <w:r>
              <w:rPr>
                <w:rFonts w:hint="eastAsia" w:ascii="仿宋" w:hAnsi="仿宋" w:eastAsia="仿宋" w:cs="仿宋"/>
                <w:spacing w:val="-29"/>
                <w:sz w:val="21"/>
                <w:szCs w:val="21"/>
              </w:rPr>
              <w:t xml:space="preserve"> </w:t>
            </w:r>
            <w:r>
              <w:rPr>
                <w:rFonts w:hint="eastAsia" w:ascii="仿宋" w:hAnsi="仿宋" w:eastAsia="仿宋" w:cs="仿宋"/>
                <w:spacing w:val="-11"/>
                <w:sz w:val="21"/>
                <w:szCs w:val="21"/>
              </w:rPr>
              <w:t>5</w:t>
            </w:r>
            <w:r>
              <w:rPr>
                <w:rFonts w:hint="eastAsia" w:ascii="仿宋" w:hAnsi="仿宋" w:eastAsia="仿宋" w:cs="仿宋"/>
                <w:spacing w:val="-46"/>
                <w:sz w:val="21"/>
                <w:szCs w:val="21"/>
              </w:rPr>
              <w:t xml:space="preserve"> </w:t>
            </w:r>
            <w:r>
              <w:rPr>
                <w:rFonts w:hint="eastAsia" w:ascii="仿宋" w:hAnsi="仿宋" w:eastAsia="仿宋" w:cs="仿宋"/>
                <w:spacing w:val="-11"/>
                <w:sz w:val="21"/>
                <w:szCs w:val="21"/>
              </w:rPr>
              <w:t>亿</w:t>
            </w:r>
            <w:r>
              <w:rPr>
                <w:rFonts w:hint="eastAsia" w:ascii="仿宋" w:hAnsi="仿宋" w:eastAsia="仿宋" w:cs="仿宋"/>
                <w:sz w:val="21"/>
                <w:szCs w:val="21"/>
              </w:rPr>
              <w:t xml:space="preserve"> </w:t>
            </w:r>
            <w:r>
              <w:rPr>
                <w:rFonts w:hint="eastAsia" w:ascii="仿宋" w:hAnsi="仿宋" w:eastAsia="仿宋" w:cs="仿宋"/>
                <w:spacing w:val="-6"/>
                <w:sz w:val="21"/>
                <w:szCs w:val="21"/>
              </w:rPr>
              <w:t>元）</w:t>
            </w:r>
          </w:p>
        </w:tc>
        <w:tc>
          <w:tcPr>
            <w:tcW w:w="337" w:type="pct"/>
            <w:noWrap w:val="0"/>
            <w:vAlign w:val="top"/>
          </w:tcPr>
          <w:p>
            <w:pPr>
              <w:spacing w:line="273" w:lineRule="auto"/>
              <w:rPr>
                <w:rFonts w:hint="eastAsia" w:ascii="仿宋" w:hAnsi="仿宋" w:eastAsia="仿宋" w:cs="仿宋"/>
                <w:sz w:val="21"/>
                <w:szCs w:val="21"/>
              </w:rPr>
            </w:pPr>
          </w:p>
          <w:p>
            <w:pPr>
              <w:spacing w:line="273" w:lineRule="auto"/>
              <w:rPr>
                <w:rFonts w:hint="eastAsia" w:ascii="仿宋" w:hAnsi="仿宋" w:eastAsia="仿宋" w:cs="仿宋"/>
                <w:sz w:val="21"/>
                <w:szCs w:val="21"/>
              </w:rPr>
            </w:pPr>
          </w:p>
          <w:p>
            <w:pPr>
              <w:pStyle w:val="41"/>
              <w:spacing w:before="69" w:line="270" w:lineRule="auto"/>
              <w:ind w:left="251" w:right="140" w:hanging="98"/>
              <w:rPr>
                <w:rFonts w:hint="eastAsia" w:ascii="仿宋" w:hAnsi="仿宋" w:eastAsia="仿宋" w:cs="仿宋"/>
                <w:sz w:val="21"/>
                <w:szCs w:val="21"/>
              </w:rPr>
            </w:pPr>
            <w:r>
              <w:rPr>
                <w:rFonts w:hint="eastAsia" w:ascii="仿宋" w:hAnsi="仿宋" w:eastAsia="仿宋" w:cs="仿宋"/>
                <w:spacing w:val="-7"/>
                <w:sz w:val="21"/>
                <w:szCs w:val="21"/>
              </w:rPr>
              <w:t>5</w:t>
            </w:r>
            <w:r>
              <w:rPr>
                <w:rFonts w:hint="eastAsia" w:ascii="仿宋" w:hAnsi="仿宋" w:eastAsia="仿宋" w:cs="仿宋"/>
                <w:spacing w:val="-42"/>
                <w:sz w:val="21"/>
                <w:szCs w:val="21"/>
              </w:rPr>
              <w:t xml:space="preserve"> </w:t>
            </w:r>
            <w:r>
              <w:rPr>
                <w:rFonts w:hint="eastAsia" w:ascii="仿宋" w:hAnsi="仿宋" w:eastAsia="仿宋" w:cs="仿宋"/>
                <w:spacing w:val="-7"/>
                <w:sz w:val="21"/>
                <w:szCs w:val="21"/>
              </w:rPr>
              <w:t>亿元</w:t>
            </w:r>
            <w:r>
              <w:rPr>
                <w:rFonts w:hint="eastAsia" w:ascii="仿宋" w:hAnsi="仿宋" w:eastAsia="仿宋" w:cs="仿宋"/>
                <w:sz w:val="21"/>
                <w:szCs w:val="21"/>
              </w:rPr>
              <w:t xml:space="preserve"> </w:t>
            </w:r>
            <w:r>
              <w:rPr>
                <w:rFonts w:hint="eastAsia" w:ascii="仿宋" w:hAnsi="仿宋" w:eastAsia="仿宋" w:cs="仿宋"/>
                <w:spacing w:val="-8"/>
                <w:sz w:val="21"/>
                <w:szCs w:val="21"/>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285" w:type="pct"/>
            <w:noWrap w:val="0"/>
            <w:vAlign w:val="top"/>
          </w:tcPr>
          <w:p>
            <w:pPr>
              <w:spacing w:line="400" w:lineRule="auto"/>
              <w:rPr>
                <w:rFonts w:hint="eastAsia" w:ascii="仿宋" w:hAnsi="仿宋" w:eastAsia="仿宋" w:cs="仿宋"/>
                <w:sz w:val="21"/>
                <w:szCs w:val="21"/>
              </w:rPr>
            </w:pPr>
          </w:p>
          <w:p>
            <w:pPr>
              <w:pStyle w:val="41"/>
              <w:spacing w:before="68" w:line="183" w:lineRule="auto"/>
              <w:ind w:left="408"/>
              <w:rPr>
                <w:rFonts w:hint="eastAsia" w:ascii="仿宋" w:hAnsi="仿宋" w:eastAsia="仿宋" w:cs="仿宋"/>
                <w:sz w:val="21"/>
                <w:szCs w:val="21"/>
              </w:rPr>
            </w:pPr>
            <w:r>
              <w:rPr>
                <w:rFonts w:hint="eastAsia" w:ascii="仿宋" w:hAnsi="仿宋" w:eastAsia="仿宋" w:cs="仿宋"/>
                <w:sz w:val="21"/>
                <w:szCs w:val="21"/>
              </w:rPr>
              <w:t>1</w:t>
            </w:r>
          </w:p>
        </w:tc>
        <w:tc>
          <w:tcPr>
            <w:tcW w:w="868" w:type="pct"/>
            <w:noWrap w:val="0"/>
            <w:vAlign w:val="top"/>
          </w:tcPr>
          <w:p>
            <w:pPr>
              <w:spacing w:line="366" w:lineRule="auto"/>
              <w:rPr>
                <w:rFonts w:hint="eastAsia" w:ascii="仿宋" w:hAnsi="仿宋" w:eastAsia="仿宋" w:cs="仿宋"/>
                <w:sz w:val="21"/>
                <w:szCs w:val="21"/>
              </w:rPr>
            </w:pPr>
          </w:p>
          <w:p>
            <w:pPr>
              <w:pStyle w:val="41"/>
              <w:spacing w:before="69" w:line="219" w:lineRule="auto"/>
              <w:ind w:left="373"/>
              <w:rPr>
                <w:rFonts w:hint="eastAsia" w:ascii="仿宋" w:hAnsi="仿宋" w:eastAsia="仿宋" w:cs="仿宋"/>
                <w:sz w:val="21"/>
                <w:szCs w:val="21"/>
              </w:rPr>
            </w:pPr>
            <w:r>
              <w:rPr>
                <w:rFonts w:hint="eastAsia" w:ascii="仿宋" w:hAnsi="仿宋" w:eastAsia="仿宋" w:cs="仿宋"/>
                <w:spacing w:val="-1"/>
                <w:sz w:val="21"/>
                <w:szCs w:val="21"/>
              </w:rPr>
              <w:t>投资估算编制或审核</w:t>
            </w:r>
          </w:p>
        </w:tc>
        <w:tc>
          <w:tcPr>
            <w:tcW w:w="664" w:type="pct"/>
            <w:noWrap w:val="0"/>
            <w:vAlign w:val="top"/>
          </w:tcPr>
          <w:p>
            <w:pPr>
              <w:pStyle w:val="41"/>
              <w:spacing w:before="77" w:line="220" w:lineRule="auto"/>
              <w:ind w:left="145"/>
              <w:rPr>
                <w:rFonts w:hint="eastAsia" w:ascii="仿宋" w:hAnsi="仿宋" w:eastAsia="仿宋" w:cs="仿宋"/>
                <w:sz w:val="21"/>
                <w:szCs w:val="21"/>
              </w:rPr>
            </w:pPr>
            <w:r>
              <w:rPr>
                <w:rFonts w:hint="eastAsia" w:ascii="仿宋" w:hAnsi="仿宋" w:eastAsia="仿宋" w:cs="仿宋"/>
                <w:spacing w:val="-1"/>
                <w:sz w:val="21"/>
                <w:szCs w:val="21"/>
              </w:rPr>
              <w:t>依据可行性研究</w:t>
            </w:r>
          </w:p>
          <w:p>
            <w:pPr>
              <w:pStyle w:val="41"/>
              <w:spacing w:before="109" w:line="221" w:lineRule="auto"/>
              <w:ind w:left="144"/>
              <w:rPr>
                <w:rFonts w:hint="eastAsia" w:ascii="仿宋" w:hAnsi="仿宋" w:eastAsia="仿宋" w:cs="仿宋"/>
                <w:sz w:val="21"/>
                <w:szCs w:val="21"/>
              </w:rPr>
            </w:pPr>
            <w:r>
              <w:rPr>
                <w:rFonts w:hint="eastAsia" w:ascii="仿宋" w:hAnsi="仿宋" w:eastAsia="仿宋" w:cs="仿宋"/>
                <w:spacing w:val="-1"/>
                <w:sz w:val="21"/>
                <w:szCs w:val="21"/>
              </w:rPr>
              <w:t>方案编制或审核</w:t>
            </w:r>
          </w:p>
          <w:p>
            <w:pPr>
              <w:pStyle w:val="41"/>
              <w:spacing w:before="109" w:line="219" w:lineRule="auto"/>
              <w:ind w:left="462"/>
              <w:rPr>
                <w:rFonts w:hint="eastAsia" w:ascii="仿宋" w:hAnsi="仿宋" w:eastAsia="仿宋" w:cs="仿宋"/>
                <w:sz w:val="21"/>
                <w:szCs w:val="21"/>
              </w:rPr>
            </w:pPr>
            <w:r>
              <w:rPr>
                <w:rFonts w:hint="eastAsia" w:ascii="仿宋" w:hAnsi="仿宋" w:eastAsia="仿宋" w:cs="仿宋"/>
                <w:spacing w:val="-2"/>
                <w:sz w:val="21"/>
                <w:szCs w:val="21"/>
              </w:rPr>
              <w:t>投资估算</w:t>
            </w:r>
          </w:p>
        </w:tc>
        <w:tc>
          <w:tcPr>
            <w:tcW w:w="387" w:type="pct"/>
            <w:noWrap w:val="0"/>
            <w:vAlign w:val="top"/>
          </w:tcPr>
          <w:p>
            <w:pPr>
              <w:pStyle w:val="41"/>
              <w:spacing w:before="256" w:line="269" w:lineRule="auto"/>
              <w:ind w:left="407" w:right="190" w:hanging="206"/>
              <w:rPr>
                <w:rFonts w:hint="eastAsia" w:ascii="仿宋" w:hAnsi="仿宋" w:eastAsia="仿宋" w:cs="仿宋"/>
                <w:sz w:val="21"/>
                <w:szCs w:val="21"/>
              </w:rPr>
            </w:pPr>
            <w:r>
              <w:rPr>
                <w:rFonts w:hint="eastAsia" w:ascii="仿宋" w:hAnsi="仿宋" w:eastAsia="仿宋" w:cs="仿宋"/>
                <w:spacing w:val="-3"/>
                <w:sz w:val="21"/>
                <w:szCs w:val="21"/>
              </w:rPr>
              <w:t>投资总</w:t>
            </w:r>
            <w:r>
              <w:rPr>
                <w:rFonts w:hint="eastAsia" w:ascii="仿宋" w:hAnsi="仿宋" w:eastAsia="仿宋" w:cs="仿宋"/>
                <w:sz w:val="21"/>
                <w:szCs w:val="21"/>
              </w:rPr>
              <w:t xml:space="preserve"> 额</w:t>
            </w:r>
          </w:p>
        </w:tc>
        <w:tc>
          <w:tcPr>
            <w:tcW w:w="408" w:type="pct"/>
            <w:noWrap w:val="0"/>
            <w:vAlign w:val="top"/>
          </w:tcPr>
          <w:p>
            <w:pPr>
              <w:spacing w:line="401" w:lineRule="auto"/>
              <w:rPr>
                <w:rFonts w:hint="eastAsia" w:ascii="仿宋" w:hAnsi="仿宋" w:eastAsia="仿宋" w:cs="仿宋"/>
                <w:sz w:val="21"/>
                <w:szCs w:val="21"/>
              </w:rPr>
            </w:pPr>
          </w:p>
          <w:p>
            <w:pPr>
              <w:pStyle w:val="41"/>
              <w:spacing w:before="69" w:line="182" w:lineRule="auto"/>
              <w:ind w:left="388"/>
              <w:rPr>
                <w:rFonts w:hint="eastAsia" w:ascii="仿宋" w:hAnsi="仿宋" w:eastAsia="仿宋" w:cs="仿宋"/>
                <w:sz w:val="21"/>
                <w:szCs w:val="21"/>
              </w:rPr>
            </w:pPr>
            <w:r>
              <w:rPr>
                <w:rFonts w:hint="eastAsia" w:ascii="仿宋" w:hAnsi="仿宋" w:eastAsia="仿宋" w:cs="仿宋"/>
                <w:spacing w:val="-2"/>
                <w:sz w:val="21"/>
                <w:szCs w:val="21"/>
              </w:rPr>
              <w:t>0.8</w:t>
            </w:r>
          </w:p>
        </w:tc>
        <w:tc>
          <w:tcPr>
            <w:tcW w:w="410" w:type="pct"/>
            <w:noWrap w:val="0"/>
            <w:vAlign w:val="top"/>
          </w:tcPr>
          <w:p>
            <w:pPr>
              <w:spacing w:line="401" w:lineRule="auto"/>
              <w:rPr>
                <w:rFonts w:hint="eastAsia" w:ascii="仿宋" w:hAnsi="仿宋" w:eastAsia="仿宋" w:cs="仿宋"/>
                <w:sz w:val="21"/>
                <w:szCs w:val="21"/>
              </w:rPr>
            </w:pPr>
          </w:p>
          <w:p>
            <w:pPr>
              <w:pStyle w:val="41"/>
              <w:spacing w:before="69" w:line="182" w:lineRule="auto"/>
              <w:ind w:left="389"/>
              <w:rPr>
                <w:rFonts w:hint="eastAsia" w:ascii="仿宋" w:hAnsi="仿宋" w:eastAsia="仿宋" w:cs="仿宋"/>
                <w:sz w:val="21"/>
                <w:szCs w:val="21"/>
              </w:rPr>
            </w:pPr>
            <w:r>
              <w:rPr>
                <w:rFonts w:hint="eastAsia" w:ascii="仿宋" w:hAnsi="仿宋" w:eastAsia="仿宋" w:cs="仿宋"/>
                <w:spacing w:val="-2"/>
                <w:sz w:val="21"/>
                <w:szCs w:val="21"/>
              </w:rPr>
              <w:t>0.6</w:t>
            </w:r>
          </w:p>
        </w:tc>
        <w:tc>
          <w:tcPr>
            <w:tcW w:w="408" w:type="pct"/>
            <w:noWrap w:val="0"/>
            <w:vAlign w:val="top"/>
          </w:tcPr>
          <w:p>
            <w:pPr>
              <w:spacing w:line="401" w:lineRule="auto"/>
              <w:rPr>
                <w:rFonts w:hint="eastAsia" w:ascii="仿宋" w:hAnsi="仿宋" w:eastAsia="仿宋" w:cs="仿宋"/>
                <w:sz w:val="21"/>
                <w:szCs w:val="21"/>
              </w:rPr>
            </w:pPr>
          </w:p>
          <w:p>
            <w:pPr>
              <w:pStyle w:val="41"/>
              <w:spacing w:before="69" w:line="182" w:lineRule="auto"/>
              <w:ind w:left="389"/>
              <w:rPr>
                <w:rFonts w:hint="eastAsia" w:ascii="仿宋" w:hAnsi="仿宋" w:eastAsia="仿宋" w:cs="仿宋"/>
                <w:sz w:val="21"/>
                <w:szCs w:val="21"/>
              </w:rPr>
            </w:pPr>
            <w:r>
              <w:rPr>
                <w:rFonts w:hint="eastAsia" w:ascii="仿宋" w:hAnsi="仿宋" w:eastAsia="仿宋" w:cs="仿宋"/>
                <w:spacing w:val="-2"/>
                <w:sz w:val="21"/>
                <w:szCs w:val="21"/>
              </w:rPr>
              <w:t>0.4</w:t>
            </w:r>
          </w:p>
        </w:tc>
        <w:tc>
          <w:tcPr>
            <w:tcW w:w="410" w:type="pct"/>
            <w:noWrap w:val="0"/>
            <w:vAlign w:val="top"/>
          </w:tcPr>
          <w:p>
            <w:pPr>
              <w:spacing w:line="401" w:lineRule="auto"/>
              <w:rPr>
                <w:rFonts w:hint="eastAsia" w:ascii="仿宋" w:hAnsi="仿宋" w:eastAsia="仿宋" w:cs="仿宋"/>
                <w:sz w:val="21"/>
                <w:szCs w:val="21"/>
              </w:rPr>
            </w:pPr>
          </w:p>
          <w:p>
            <w:pPr>
              <w:pStyle w:val="41"/>
              <w:spacing w:before="69" w:line="182" w:lineRule="auto"/>
              <w:ind w:left="390"/>
              <w:rPr>
                <w:rFonts w:hint="eastAsia" w:ascii="仿宋" w:hAnsi="仿宋" w:eastAsia="仿宋" w:cs="仿宋"/>
                <w:sz w:val="21"/>
                <w:szCs w:val="21"/>
              </w:rPr>
            </w:pPr>
            <w:r>
              <w:rPr>
                <w:rFonts w:hint="eastAsia" w:ascii="仿宋" w:hAnsi="仿宋" w:eastAsia="仿宋" w:cs="仿宋"/>
                <w:spacing w:val="-2"/>
                <w:sz w:val="21"/>
                <w:szCs w:val="21"/>
              </w:rPr>
              <w:t>0.2</w:t>
            </w:r>
          </w:p>
        </w:tc>
        <w:tc>
          <w:tcPr>
            <w:tcW w:w="410" w:type="pct"/>
            <w:noWrap w:val="0"/>
            <w:vAlign w:val="top"/>
          </w:tcPr>
          <w:p>
            <w:pPr>
              <w:spacing w:line="401" w:lineRule="auto"/>
              <w:rPr>
                <w:rFonts w:hint="eastAsia" w:ascii="仿宋" w:hAnsi="仿宋" w:eastAsia="仿宋" w:cs="仿宋"/>
                <w:sz w:val="21"/>
                <w:szCs w:val="21"/>
              </w:rPr>
            </w:pPr>
          </w:p>
          <w:p>
            <w:pPr>
              <w:pStyle w:val="41"/>
              <w:spacing w:before="69" w:line="182" w:lineRule="auto"/>
              <w:ind w:left="390"/>
              <w:rPr>
                <w:rFonts w:hint="eastAsia" w:ascii="仿宋" w:hAnsi="仿宋" w:eastAsia="仿宋" w:cs="仿宋"/>
                <w:sz w:val="21"/>
                <w:szCs w:val="21"/>
              </w:rPr>
            </w:pPr>
            <w:r>
              <w:rPr>
                <w:rFonts w:hint="eastAsia" w:ascii="仿宋" w:hAnsi="仿宋" w:eastAsia="仿宋" w:cs="仿宋"/>
                <w:spacing w:val="-2"/>
                <w:sz w:val="21"/>
                <w:szCs w:val="21"/>
              </w:rPr>
              <w:t>0.2</w:t>
            </w:r>
          </w:p>
        </w:tc>
        <w:tc>
          <w:tcPr>
            <w:tcW w:w="410" w:type="pct"/>
            <w:noWrap w:val="0"/>
            <w:vAlign w:val="top"/>
          </w:tcPr>
          <w:p>
            <w:pPr>
              <w:spacing w:line="401" w:lineRule="auto"/>
              <w:rPr>
                <w:rFonts w:hint="eastAsia" w:ascii="仿宋" w:hAnsi="仿宋" w:eastAsia="仿宋" w:cs="仿宋"/>
                <w:sz w:val="21"/>
                <w:szCs w:val="21"/>
              </w:rPr>
            </w:pPr>
          </w:p>
          <w:p>
            <w:pPr>
              <w:pStyle w:val="41"/>
              <w:spacing w:before="69" w:line="182" w:lineRule="auto"/>
              <w:ind w:left="391"/>
              <w:rPr>
                <w:rFonts w:hint="eastAsia" w:ascii="仿宋" w:hAnsi="仿宋" w:eastAsia="仿宋" w:cs="仿宋"/>
                <w:sz w:val="21"/>
                <w:szCs w:val="21"/>
              </w:rPr>
            </w:pPr>
            <w:r>
              <w:rPr>
                <w:rFonts w:hint="eastAsia" w:ascii="仿宋" w:hAnsi="仿宋" w:eastAsia="仿宋" w:cs="仿宋"/>
                <w:spacing w:val="-2"/>
                <w:sz w:val="21"/>
                <w:szCs w:val="21"/>
              </w:rPr>
              <w:t>0.2</w:t>
            </w:r>
          </w:p>
        </w:tc>
        <w:tc>
          <w:tcPr>
            <w:tcW w:w="337" w:type="pct"/>
            <w:noWrap w:val="0"/>
            <w:vAlign w:val="top"/>
          </w:tcPr>
          <w:p>
            <w:pPr>
              <w:spacing w:line="401" w:lineRule="auto"/>
              <w:rPr>
                <w:rFonts w:hint="eastAsia" w:ascii="仿宋" w:hAnsi="仿宋" w:eastAsia="仿宋" w:cs="仿宋"/>
                <w:sz w:val="21"/>
                <w:szCs w:val="21"/>
              </w:rPr>
            </w:pPr>
          </w:p>
          <w:p>
            <w:pPr>
              <w:pStyle w:val="41"/>
              <w:spacing w:before="69" w:line="182" w:lineRule="auto"/>
              <w:ind w:left="283"/>
              <w:rPr>
                <w:rFonts w:hint="eastAsia" w:ascii="仿宋" w:hAnsi="仿宋" w:eastAsia="仿宋" w:cs="仿宋"/>
                <w:sz w:val="21"/>
                <w:szCs w:val="21"/>
              </w:rPr>
            </w:pPr>
            <w:r>
              <w:rPr>
                <w:rFonts w:hint="eastAsia" w:ascii="仿宋" w:hAnsi="仿宋" w:eastAsia="仿宋" w:cs="仿宋"/>
                <w:spacing w:val="-2"/>
                <w:sz w:val="21"/>
                <w:szCs w:val="21"/>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285" w:type="pct"/>
            <w:noWrap w:val="0"/>
            <w:vAlign w:val="top"/>
          </w:tcPr>
          <w:p>
            <w:pPr>
              <w:spacing w:line="290"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94"/>
              <w:rPr>
                <w:rFonts w:hint="eastAsia" w:ascii="仿宋" w:hAnsi="仿宋" w:eastAsia="仿宋" w:cs="仿宋"/>
                <w:sz w:val="21"/>
                <w:szCs w:val="21"/>
              </w:rPr>
            </w:pPr>
            <w:r>
              <w:rPr>
                <w:rFonts w:hint="eastAsia" w:ascii="仿宋" w:hAnsi="仿宋" w:eastAsia="仿宋" w:cs="仿宋"/>
                <w:sz w:val="21"/>
                <w:szCs w:val="21"/>
              </w:rPr>
              <w:t>2</w:t>
            </w:r>
          </w:p>
        </w:tc>
        <w:tc>
          <w:tcPr>
            <w:tcW w:w="868" w:type="pct"/>
            <w:noWrap w:val="0"/>
            <w:vAlign w:val="top"/>
          </w:tcPr>
          <w:p>
            <w:pPr>
              <w:spacing w:line="273" w:lineRule="auto"/>
              <w:rPr>
                <w:rFonts w:hint="eastAsia" w:ascii="仿宋" w:hAnsi="仿宋" w:eastAsia="仿宋" w:cs="仿宋"/>
                <w:sz w:val="21"/>
                <w:szCs w:val="21"/>
              </w:rPr>
            </w:pPr>
          </w:p>
          <w:p>
            <w:pPr>
              <w:spacing w:line="273" w:lineRule="auto"/>
              <w:rPr>
                <w:rFonts w:hint="eastAsia" w:ascii="仿宋" w:hAnsi="仿宋" w:eastAsia="仿宋" w:cs="仿宋"/>
                <w:sz w:val="21"/>
                <w:szCs w:val="21"/>
              </w:rPr>
            </w:pPr>
          </w:p>
          <w:p>
            <w:pPr>
              <w:pStyle w:val="41"/>
              <w:spacing w:before="69" w:line="221" w:lineRule="auto"/>
              <w:ind w:left="897"/>
              <w:rPr>
                <w:rFonts w:hint="eastAsia" w:ascii="仿宋" w:hAnsi="仿宋" w:eastAsia="仿宋" w:cs="仿宋"/>
                <w:sz w:val="21"/>
                <w:szCs w:val="21"/>
              </w:rPr>
            </w:pPr>
            <w:r>
              <w:rPr>
                <w:rFonts w:hint="eastAsia" w:ascii="仿宋" w:hAnsi="仿宋" w:eastAsia="仿宋" w:cs="仿宋"/>
                <w:spacing w:val="-2"/>
                <w:sz w:val="21"/>
                <w:szCs w:val="21"/>
              </w:rPr>
              <w:t>方案比选</w:t>
            </w:r>
          </w:p>
        </w:tc>
        <w:tc>
          <w:tcPr>
            <w:tcW w:w="664" w:type="pct"/>
            <w:noWrap w:val="0"/>
            <w:vAlign w:val="top"/>
          </w:tcPr>
          <w:p>
            <w:pPr>
              <w:spacing w:line="367" w:lineRule="auto"/>
              <w:rPr>
                <w:rFonts w:hint="eastAsia" w:ascii="仿宋" w:hAnsi="仿宋" w:eastAsia="仿宋" w:cs="仿宋"/>
                <w:sz w:val="21"/>
                <w:szCs w:val="21"/>
              </w:rPr>
            </w:pPr>
          </w:p>
          <w:p>
            <w:pPr>
              <w:pStyle w:val="41"/>
              <w:spacing w:before="68" w:line="268" w:lineRule="auto"/>
              <w:ind w:left="356" w:right="137" w:hanging="211"/>
              <w:rPr>
                <w:rFonts w:hint="eastAsia" w:ascii="仿宋" w:hAnsi="仿宋" w:eastAsia="仿宋" w:cs="仿宋"/>
                <w:sz w:val="21"/>
                <w:szCs w:val="21"/>
              </w:rPr>
            </w:pPr>
            <w:r>
              <w:rPr>
                <w:rFonts w:hint="eastAsia" w:ascii="仿宋" w:hAnsi="仿宋" w:eastAsia="仿宋" w:cs="仿宋"/>
                <w:spacing w:val="-1"/>
                <w:sz w:val="21"/>
                <w:szCs w:val="21"/>
              </w:rPr>
              <w:t>依据比选方案测</w:t>
            </w:r>
            <w:r>
              <w:rPr>
                <w:rFonts w:hint="eastAsia" w:ascii="仿宋" w:hAnsi="仿宋" w:eastAsia="仿宋" w:cs="仿宋"/>
                <w:sz w:val="21"/>
                <w:szCs w:val="21"/>
              </w:rPr>
              <w:t xml:space="preserve"> </w:t>
            </w:r>
            <w:r>
              <w:rPr>
                <w:rFonts w:hint="eastAsia" w:ascii="仿宋" w:hAnsi="仿宋" w:eastAsia="仿宋" w:cs="仿宋"/>
                <w:spacing w:val="-2"/>
                <w:sz w:val="21"/>
                <w:szCs w:val="21"/>
              </w:rPr>
              <w:t>算工程造价</w:t>
            </w:r>
          </w:p>
        </w:tc>
        <w:tc>
          <w:tcPr>
            <w:tcW w:w="387" w:type="pct"/>
            <w:noWrap w:val="0"/>
            <w:vAlign w:val="top"/>
          </w:tcPr>
          <w:p>
            <w:pPr>
              <w:pStyle w:val="41"/>
              <w:spacing w:before="78" w:line="292" w:lineRule="auto"/>
              <w:ind w:left="200" w:right="190" w:firstLine="1"/>
              <w:jc w:val="both"/>
              <w:rPr>
                <w:rFonts w:hint="eastAsia" w:ascii="仿宋" w:hAnsi="仿宋" w:eastAsia="仿宋" w:cs="仿宋"/>
                <w:sz w:val="21"/>
                <w:szCs w:val="21"/>
              </w:rPr>
            </w:pPr>
            <w:r>
              <w:rPr>
                <w:rFonts w:hint="eastAsia" w:ascii="仿宋" w:hAnsi="仿宋" w:eastAsia="仿宋" w:cs="仿宋"/>
                <w:spacing w:val="-3"/>
                <w:sz w:val="21"/>
                <w:szCs w:val="21"/>
              </w:rPr>
              <w:t>各比选</w:t>
            </w:r>
            <w:r>
              <w:rPr>
                <w:rFonts w:hint="eastAsia" w:ascii="仿宋" w:hAnsi="仿宋" w:eastAsia="仿宋" w:cs="仿宋"/>
                <w:sz w:val="21"/>
                <w:szCs w:val="21"/>
              </w:rPr>
              <w:t xml:space="preserve"> </w:t>
            </w:r>
            <w:r>
              <w:rPr>
                <w:rFonts w:hint="eastAsia" w:ascii="仿宋" w:hAnsi="仿宋" w:eastAsia="仿宋" w:cs="仿宋"/>
                <w:spacing w:val="-2"/>
                <w:sz w:val="21"/>
                <w:szCs w:val="21"/>
              </w:rPr>
              <w:t>方案的</w:t>
            </w:r>
            <w:r>
              <w:rPr>
                <w:rFonts w:hint="eastAsia" w:ascii="仿宋" w:hAnsi="仿宋" w:eastAsia="仿宋" w:cs="仿宋"/>
                <w:sz w:val="21"/>
                <w:szCs w:val="21"/>
              </w:rPr>
              <w:t xml:space="preserve"> </w:t>
            </w:r>
            <w:r>
              <w:rPr>
                <w:rFonts w:hint="eastAsia" w:ascii="仿宋" w:hAnsi="仿宋" w:eastAsia="仿宋" w:cs="仿宋"/>
                <w:spacing w:val="-2"/>
                <w:sz w:val="21"/>
                <w:szCs w:val="21"/>
              </w:rPr>
              <w:t>工程造</w:t>
            </w:r>
            <w:r>
              <w:rPr>
                <w:rFonts w:hint="eastAsia" w:ascii="仿宋" w:hAnsi="仿宋" w:eastAsia="仿宋" w:cs="仿宋"/>
                <w:sz w:val="21"/>
                <w:szCs w:val="21"/>
              </w:rPr>
              <w:t xml:space="preserve"> </w:t>
            </w:r>
            <w:r>
              <w:rPr>
                <w:rFonts w:hint="eastAsia" w:ascii="仿宋" w:hAnsi="仿宋" w:eastAsia="仿宋" w:cs="仿宋"/>
                <w:spacing w:val="-2"/>
                <w:sz w:val="21"/>
                <w:szCs w:val="21"/>
              </w:rPr>
              <w:t>价之和</w:t>
            </w:r>
          </w:p>
        </w:tc>
        <w:tc>
          <w:tcPr>
            <w:tcW w:w="408" w:type="pct"/>
            <w:noWrap w:val="0"/>
            <w:vAlign w:val="top"/>
          </w:tcPr>
          <w:p>
            <w:pPr>
              <w:spacing w:line="290" w:lineRule="auto"/>
              <w:rPr>
                <w:rFonts w:hint="eastAsia" w:ascii="仿宋" w:hAnsi="仿宋" w:eastAsia="仿宋" w:cs="仿宋"/>
                <w:sz w:val="21"/>
                <w:szCs w:val="21"/>
              </w:rPr>
            </w:pPr>
          </w:p>
          <w:p>
            <w:pPr>
              <w:spacing w:line="290" w:lineRule="auto"/>
              <w:rPr>
                <w:rFonts w:hint="eastAsia" w:ascii="仿宋" w:hAnsi="仿宋" w:eastAsia="仿宋" w:cs="仿宋"/>
                <w:sz w:val="21"/>
                <w:szCs w:val="21"/>
              </w:rPr>
            </w:pPr>
          </w:p>
          <w:p>
            <w:pPr>
              <w:pStyle w:val="41"/>
              <w:spacing w:before="68" w:line="183" w:lineRule="auto"/>
              <w:ind w:left="402"/>
              <w:rPr>
                <w:rFonts w:hint="eastAsia" w:ascii="仿宋" w:hAnsi="仿宋" w:eastAsia="仿宋" w:cs="仿宋"/>
                <w:sz w:val="21"/>
                <w:szCs w:val="21"/>
              </w:rPr>
            </w:pPr>
            <w:r>
              <w:rPr>
                <w:rFonts w:hint="eastAsia" w:ascii="仿宋" w:hAnsi="仿宋" w:eastAsia="仿宋" w:cs="仿宋"/>
                <w:spacing w:val="-5"/>
                <w:sz w:val="21"/>
                <w:szCs w:val="21"/>
              </w:rPr>
              <w:t>1.5</w:t>
            </w:r>
          </w:p>
        </w:tc>
        <w:tc>
          <w:tcPr>
            <w:tcW w:w="410" w:type="pct"/>
            <w:noWrap w:val="0"/>
            <w:vAlign w:val="top"/>
          </w:tcPr>
          <w:p>
            <w:pPr>
              <w:spacing w:line="290" w:lineRule="auto"/>
              <w:rPr>
                <w:rFonts w:hint="eastAsia" w:ascii="仿宋" w:hAnsi="仿宋" w:eastAsia="仿宋" w:cs="仿宋"/>
                <w:sz w:val="21"/>
                <w:szCs w:val="21"/>
              </w:rPr>
            </w:pPr>
          </w:p>
          <w:p>
            <w:pPr>
              <w:spacing w:line="290" w:lineRule="auto"/>
              <w:rPr>
                <w:rFonts w:hint="eastAsia" w:ascii="仿宋" w:hAnsi="仿宋" w:eastAsia="仿宋" w:cs="仿宋"/>
                <w:sz w:val="21"/>
                <w:szCs w:val="21"/>
              </w:rPr>
            </w:pPr>
          </w:p>
          <w:p>
            <w:pPr>
              <w:pStyle w:val="41"/>
              <w:spacing w:before="68" w:line="183" w:lineRule="auto"/>
              <w:ind w:left="403"/>
              <w:rPr>
                <w:rFonts w:hint="eastAsia" w:ascii="仿宋" w:hAnsi="仿宋" w:eastAsia="仿宋" w:cs="仿宋"/>
                <w:sz w:val="21"/>
                <w:szCs w:val="21"/>
              </w:rPr>
            </w:pPr>
            <w:r>
              <w:rPr>
                <w:rFonts w:hint="eastAsia" w:ascii="仿宋" w:hAnsi="仿宋" w:eastAsia="仿宋" w:cs="仿宋"/>
                <w:spacing w:val="-5"/>
                <w:sz w:val="21"/>
                <w:szCs w:val="21"/>
              </w:rPr>
              <w:t>1.3</w:t>
            </w:r>
          </w:p>
        </w:tc>
        <w:tc>
          <w:tcPr>
            <w:tcW w:w="408" w:type="pct"/>
            <w:noWrap w:val="0"/>
            <w:vAlign w:val="top"/>
          </w:tcPr>
          <w:p>
            <w:pPr>
              <w:spacing w:line="290" w:lineRule="auto"/>
              <w:rPr>
                <w:rFonts w:hint="eastAsia" w:ascii="仿宋" w:hAnsi="仿宋" w:eastAsia="仿宋" w:cs="仿宋"/>
                <w:sz w:val="21"/>
                <w:szCs w:val="21"/>
              </w:rPr>
            </w:pPr>
          </w:p>
          <w:p>
            <w:pPr>
              <w:spacing w:line="290" w:lineRule="auto"/>
              <w:rPr>
                <w:rFonts w:hint="eastAsia" w:ascii="仿宋" w:hAnsi="仿宋" w:eastAsia="仿宋" w:cs="仿宋"/>
                <w:sz w:val="21"/>
                <w:szCs w:val="21"/>
              </w:rPr>
            </w:pPr>
          </w:p>
          <w:p>
            <w:pPr>
              <w:pStyle w:val="41"/>
              <w:spacing w:before="68" w:line="183" w:lineRule="auto"/>
              <w:ind w:left="403"/>
              <w:rPr>
                <w:rFonts w:hint="eastAsia" w:ascii="仿宋" w:hAnsi="仿宋" w:eastAsia="仿宋" w:cs="仿宋"/>
                <w:sz w:val="21"/>
                <w:szCs w:val="21"/>
              </w:rPr>
            </w:pPr>
            <w:r>
              <w:rPr>
                <w:rFonts w:hint="eastAsia" w:ascii="仿宋" w:hAnsi="仿宋" w:eastAsia="仿宋" w:cs="仿宋"/>
                <w:spacing w:val="-5"/>
                <w:sz w:val="21"/>
                <w:szCs w:val="21"/>
              </w:rPr>
              <w:t>1.1</w:t>
            </w:r>
          </w:p>
        </w:tc>
        <w:tc>
          <w:tcPr>
            <w:tcW w:w="410" w:type="pct"/>
            <w:noWrap w:val="0"/>
            <w:vAlign w:val="top"/>
          </w:tcPr>
          <w:p>
            <w:pPr>
              <w:spacing w:line="290"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90"/>
              <w:rPr>
                <w:rFonts w:hint="eastAsia" w:ascii="仿宋" w:hAnsi="仿宋" w:eastAsia="仿宋" w:cs="仿宋"/>
                <w:sz w:val="21"/>
                <w:szCs w:val="21"/>
              </w:rPr>
            </w:pPr>
            <w:r>
              <w:rPr>
                <w:rFonts w:hint="eastAsia" w:ascii="仿宋" w:hAnsi="仿宋" w:eastAsia="仿宋" w:cs="仿宋"/>
                <w:spacing w:val="-2"/>
                <w:sz w:val="21"/>
                <w:szCs w:val="21"/>
              </w:rPr>
              <w:t>0.9</w:t>
            </w:r>
          </w:p>
        </w:tc>
        <w:tc>
          <w:tcPr>
            <w:tcW w:w="410" w:type="pct"/>
            <w:noWrap w:val="0"/>
            <w:vAlign w:val="top"/>
          </w:tcPr>
          <w:p>
            <w:pPr>
              <w:spacing w:line="290"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90"/>
              <w:rPr>
                <w:rFonts w:hint="eastAsia" w:ascii="仿宋" w:hAnsi="仿宋" w:eastAsia="仿宋" w:cs="仿宋"/>
                <w:sz w:val="21"/>
                <w:szCs w:val="21"/>
              </w:rPr>
            </w:pPr>
            <w:r>
              <w:rPr>
                <w:rFonts w:hint="eastAsia" w:ascii="仿宋" w:hAnsi="仿宋" w:eastAsia="仿宋" w:cs="仿宋"/>
                <w:spacing w:val="-2"/>
                <w:sz w:val="21"/>
                <w:szCs w:val="21"/>
              </w:rPr>
              <w:t>0.7</w:t>
            </w:r>
          </w:p>
        </w:tc>
        <w:tc>
          <w:tcPr>
            <w:tcW w:w="410" w:type="pct"/>
            <w:noWrap w:val="0"/>
            <w:vAlign w:val="top"/>
          </w:tcPr>
          <w:p>
            <w:pPr>
              <w:spacing w:line="290"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91"/>
              <w:rPr>
                <w:rFonts w:hint="eastAsia" w:ascii="仿宋" w:hAnsi="仿宋" w:eastAsia="仿宋" w:cs="仿宋"/>
                <w:sz w:val="21"/>
                <w:szCs w:val="21"/>
              </w:rPr>
            </w:pPr>
            <w:r>
              <w:rPr>
                <w:rFonts w:hint="eastAsia" w:ascii="仿宋" w:hAnsi="仿宋" w:eastAsia="仿宋" w:cs="仿宋"/>
                <w:spacing w:val="-2"/>
                <w:sz w:val="21"/>
                <w:szCs w:val="21"/>
              </w:rPr>
              <w:t>0.5</w:t>
            </w:r>
          </w:p>
        </w:tc>
        <w:tc>
          <w:tcPr>
            <w:tcW w:w="337" w:type="pct"/>
            <w:noWrap w:val="0"/>
            <w:vAlign w:val="top"/>
          </w:tcPr>
          <w:p>
            <w:pPr>
              <w:spacing w:line="290"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283"/>
              <w:rPr>
                <w:rFonts w:hint="eastAsia" w:ascii="仿宋" w:hAnsi="仿宋" w:eastAsia="仿宋" w:cs="仿宋"/>
                <w:sz w:val="21"/>
                <w:szCs w:val="21"/>
              </w:rPr>
            </w:pPr>
            <w:r>
              <w:rPr>
                <w:rFonts w:hint="eastAsia" w:ascii="仿宋" w:hAnsi="仿宋" w:eastAsia="仿宋" w:cs="仿宋"/>
                <w:spacing w:val="-2"/>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285" w:type="pct"/>
            <w:noWrap w:val="0"/>
            <w:vAlign w:val="top"/>
          </w:tcPr>
          <w:p>
            <w:pPr>
              <w:spacing w:line="403" w:lineRule="auto"/>
              <w:rPr>
                <w:rFonts w:hint="eastAsia" w:ascii="仿宋" w:hAnsi="仿宋" w:eastAsia="仿宋" w:cs="仿宋"/>
                <w:sz w:val="21"/>
                <w:szCs w:val="21"/>
              </w:rPr>
            </w:pPr>
          </w:p>
          <w:p>
            <w:pPr>
              <w:pStyle w:val="41"/>
              <w:spacing w:before="68" w:line="182" w:lineRule="auto"/>
              <w:ind w:left="396"/>
              <w:rPr>
                <w:rFonts w:hint="eastAsia" w:ascii="仿宋" w:hAnsi="仿宋" w:eastAsia="仿宋" w:cs="仿宋"/>
                <w:sz w:val="21"/>
                <w:szCs w:val="21"/>
              </w:rPr>
            </w:pPr>
            <w:r>
              <w:rPr>
                <w:rFonts w:hint="eastAsia" w:ascii="仿宋" w:hAnsi="仿宋" w:eastAsia="仿宋" w:cs="仿宋"/>
                <w:sz w:val="21"/>
                <w:szCs w:val="21"/>
              </w:rPr>
              <w:t>3</w:t>
            </w:r>
          </w:p>
        </w:tc>
        <w:tc>
          <w:tcPr>
            <w:tcW w:w="868" w:type="pct"/>
            <w:noWrap w:val="0"/>
            <w:vAlign w:val="top"/>
          </w:tcPr>
          <w:p>
            <w:pPr>
              <w:spacing w:line="367" w:lineRule="auto"/>
              <w:rPr>
                <w:rFonts w:hint="eastAsia" w:ascii="仿宋" w:hAnsi="仿宋" w:eastAsia="仿宋" w:cs="仿宋"/>
                <w:sz w:val="21"/>
                <w:szCs w:val="21"/>
              </w:rPr>
            </w:pPr>
          </w:p>
          <w:p>
            <w:pPr>
              <w:pStyle w:val="41"/>
              <w:spacing w:before="69" w:line="221" w:lineRule="auto"/>
              <w:ind w:left="581"/>
              <w:rPr>
                <w:rFonts w:hint="eastAsia" w:ascii="仿宋" w:hAnsi="仿宋" w:eastAsia="仿宋" w:cs="仿宋"/>
                <w:sz w:val="21"/>
                <w:szCs w:val="21"/>
              </w:rPr>
            </w:pPr>
            <w:r>
              <w:rPr>
                <w:rFonts w:hint="eastAsia" w:ascii="仿宋" w:hAnsi="仿宋" w:eastAsia="仿宋" w:cs="仿宋"/>
                <w:spacing w:val="-1"/>
                <w:sz w:val="21"/>
                <w:szCs w:val="21"/>
              </w:rPr>
              <w:t>概算编制或审核</w:t>
            </w:r>
          </w:p>
        </w:tc>
        <w:tc>
          <w:tcPr>
            <w:tcW w:w="664" w:type="pct"/>
            <w:noWrap w:val="0"/>
            <w:vAlign w:val="top"/>
          </w:tcPr>
          <w:p>
            <w:pPr>
              <w:pStyle w:val="41"/>
              <w:spacing w:before="78" w:line="220" w:lineRule="auto"/>
              <w:ind w:left="145"/>
              <w:rPr>
                <w:rFonts w:hint="eastAsia" w:ascii="仿宋" w:hAnsi="仿宋" w:eastAsia="仿宋" w:cs="仿宋"/>
                <w:sz w:val="21"/>
                <w:szCs w:val="21"/>
              </w:rPr>
            </w:pPr>
            <w:r>
              <w:rPr>
                <w:rFonts w:hint="eastAsia" w:ascii="仿宋" w:hAnsi="仿宋" w:eastAsia="仿宋" w:cs="仿宋"/>
                <w:spacing w:val="-1"/>
                <w:sz w:val="21"/>
                <w:szCs w:val="21"/>
              </w:rPr>
              <w:t>依据初步设计资</w:t>
            </w:r>
          </w:p>
          <w:p>
            <w:pPr>
              <w:pStyle w:val="41"/>
              <w:spacing w:before="109" w:line="221" w:lineRule="auto"/>
              <w:ind w:left="143"/>
              <w:rPr>
                <w:rFonts w:hint="eastAsia" w:ascii="仿宋" w:hAnsi="仿宋" w:eastAsia="仿宋" w:cs="仿宋"/>
                <w:sz w:val="21"/>
                <w:szCs w:val="21"/>
              </w:rPr>
            </w:pPr>
            <w:r>
              <w:rPr>
                <w:rFonts w:hint="eastAsia" w:ascii="仿宋" w:hAnsi="仿宋" w:eastAsia="仿宋" w:cs="仿宋"/>
                <w:spacing w:val="-1"/>
                <w:sz w:val="21"/>
                <w:szCs w:val="21"/>
              </w:rPr>
              <w:t>料编制或审核工</w:t>
            </w:r>
          </w:p>
          <w:p>
            <w:pPr>
              <w:pStyle w:val="41"/>
              <w:spacing w:before="108" w:line="221" w:lineRule="auto"/>
              <w:ind w:left="563"/>
              <w:rPr>
                <w:rFonts w:hint="eastAsia" w:ascii="仿宋" w:hAnsi="仿宋" w:eastAsia="仿宋" w:cs="仿宋"/>
                <w:sz w:val="21"/>
                <w:szCs w:val="21"/>
              </w:rPr>
            </w:pPr>
            <w:r>
              <w:rPr>
                <w:rFonts w:hint="eastAsia" w:ascii="仿宋" w:hAnsi="仿宋" w:eastAsia="仿宋" w:cs="仿宋"/>
                <w:spacing w:val="-1"/>
                <w:sz w:val="21"/>
                <w:szCs w:val="21"/>
              </w:rPr>
              <w:t>程概算</w:t>
            </w:r>
          </w:p>
        </w:tc>
        <w:tc>
          <w:tcPr>
            <w:tcW w:w="387" w:type="pct"/>
            <w:noWrap w:val="0"/>
            <w:vAlign w:val="top"/>
          </w:tcPr>
          <w:p>
            <w:pPr>
              <w:pStyle w:val="41"/>
              <w:spacing w:before="257" w:line="269" w:lineRule="auto"/>
              <w:ind w:left="407" w:right="190" w:hanging="208"/>
              <w:rPr>
                <w:rFonts w:hint="eastAsia" w:ascii="仿宋" w:hAnsi="仿宋" w:eastAsia="仿宋" w:cs="仿宋"/>
                <w:sz w:val="21"/>
                <w:szCs w:val="21"/>
              </w:rPr>
            </w:pPr>
            <w:r>
              <w:rPr>
                <w:rFonts w:hint="eastAsia" w:ascii="仿宋" w:hAnsi="仿宋" w:eastAsia="仿宋" w:cs="仿宋"/>
                <w:spacing w:val="-2"/>
                <w:sz w:val="21"/>
                <w:szCs w:val="21"/>
              </w:rPr>
              <w:t>概算金</w:t>
            </w:r>
            <w:r>
              <w:rPr>
                <w:rFonts w:hint="eastAsia" w:ascii="仿宋" w:hAnsi="仿宋" w:eastAsia="仿宋" w:cs="仿宋"/>
                <w:sz w:val="21"/>
                <w:szCs w:val="21"/>
              </w:rPr>
              <w:t xml:space="preserve"> 额</w:t>
            </w:r>
          </w:p>
        </w:tc>
        <w:tc>
          <w:tcPr>
            <w:tcW w:w="408" w:type="pct"/>
            <w:noWrap w:val="0"/>
            <w:vAlign w:val="top"/>
          </w:tcPr>
          <w:p>
            <w:pPr>
              <w:spacing w:line="402" w:lineRule="auto"/>
              <w:rPr>
                <w:rFonts w:hint="eastAsia" w:ascii="仿宋" w:hAnsi="仿宋" w:eastAsia="仿宋" w:cs="仿宋"/>
                <w:sz w:val="21"/>
                <w:szCs w:val="21"/>
              </w:rPr>
            </w:pPr>
          </w:p>
          <w:p>
            <w:pPr>
              <w:pStyle w:val="41"/>
              <w:spacing w:before="68" w:line="183" w:lineRule="auto"/>
              <w:ind w:left="402"/>
              <w:rPr>
                <w:rFonts w:hint="eastAsia" w:ascii="仿宋" w:hAnsi="仿宋" w:eastAsia="仿宋" w:cs="仿宋"/>
                <w:sz w:val="21"/>
                <w:szCs w:val="21"/>
              </w:rPr>
            </w:pPr>
            <w:r>
              <w:rPr>
                <w:rFonts w:hint="eastAsia" w:ascii="仿宋" w:hAnsi="仿宋" w:eastAsia="仿宋" w:cs="仿宋"/>
                <w:spacing w:val="-5"/>
                <w:sz w:val="21"/>
                <w:szCs w:val="21"/>
              </w:rPr>
              <w:t>1.5</w:t>
            </w:r>
          </w:p>
        </w:tc>
        <w:tc>
          <w:tcPr>
            <w:tcW w:w="410" w:type="pct"/>
            <w:noWrap w:val="0"/>
            <w:vAlign w:val="top"/>
          </w:tcPr>
          <w:p>
            <w:pPr>
              <w:spacing w:line="402" w:lineRule="auto"/>
              <w:rPr>
                <w:rFonts w:hint="eastAsia" w:ascii="仿宋" w:hAnsi="仿宋" w:eastAsia="仿宋" w:cs="仿宋"/>
                <w:sz w:val="21"/>
                <w:szCs w:val="21"/>
              </w:rPr>
            </w:pPr>
          </w:p>
          <w:p>
            <w:pPr>
              <w:pStyle w:val="41"/>
              <w:spacing w:before="68" w:line="183" w:lineRule="auto"/>
              <w:ind w:left="403"/>
              <w:rPr>
                <w:rFonts w:hint="eastAsia" w:ascii="仿宋" w:hAnsi="仿宋" w:eastAsia="仿宋" w:cs="仿宋"/>
                <w:sz w:val="21"/>
                <w:szCs w:val="21"/>
              </w:rPr>
            </w:pPr>
            <w:r>
              <w:rPr>
                <w:rFonts w:hint="eastAsia" w:ascii="仿宋" w:hAnsi="仿宋" w:eastAsia="仿宋" w:cs="仿宋"/>
                <w:spacing w:val="-5"/>
                <w:sz w:val="21"/>
                <w:szCs w:val="21"/>
              </w:rPr>
              <w:t>1.3</w:t>
            </w:r>
          </w:p>
        </w:tc>
        <w:tc>
          <w:tcPr>
            <w:tcW w:w="408" w:type="pct"/>
            <w:noWrap w:val="0"/>
            <w:vAlign w:val="top"/>
          </w:tcPr>
          <w:p>
            <w:pPr>
              <w:spacing w:line="402" w:lineRule="auto"/>
              <w:rPr>
                <w:rFonts w:hint="eastAsia" w:ascii="仿宋" w:hAnsi="仿宋" w:eastAsia="仿宋" w:cs="仿宋"/>
                <w:sz w:val="21"/>
                <w:szCs w:val="21"/>
              </w:rPr>
            </w:pPr>
          </w:p>
          <w:p>
            <w:pPr>
              <w:pStyle w:val="41"/>
              <w:spacing w:before="68" w:line="183" w:lineRule="auto"/>
              <w:ind w:left="403"/>
              <w:rPr>
                <w:rFonts w:hint="eastAsia" w:ascii="仿宋" w:hAnsi="仿宋" w:eastAsia="仿宋" w:cs="仿宋"/>
                <w:sz w:val="21"/>
                <w:szCs w:val="21"/>
              </w:rPr>
            </w:pPr>
            <w:r>
              <w:rPr>
                <w:rFonts w:hint="eastAsia" w:ascii="仿宋" w:hAnsi="仿宋" w:eastAsia="仿宋" w:cs="仿宋"/>
                <w:spacing w:val="-5"/>
                <w:sz w:val="21"/>
                <w:szCs w:val="21"/>
              </w:rPr>
              <w:t>1.1</w:t>
            </w:r>
          </w:p>
        </w:tc>
        <w:tc>
          <w:tcPr>
            <w:tcW w:w="410" w:type="pct"/>
            <w:noWrap w:val="0"/>
            <w:vAlign w:val="top"/>
          </w:tcPr>
          <w:p>
            <w:pPr>
              <w:spacing w:line="403" w:lineRule="auto"/>
              <w:rPr>
                <w:rFonts w:hint="eastAsia" w:ascii="仿宋" w:hAnsi="仿宋" w:eastAsia="仿宋" w:cs="仿宋"/>
                <w:sz w:val="21"/>
                <w:szCs w:val="21"/>
              </w:rPr>
            </w:pPr>
          </w:p>
          <w:p>
            <w:pPr>
              <w:pStyle w:val="41"/>
              <w:spacing w:before="68" w:line="182" w:lineRule="auto"/>
              <w:ind w:left="390"/>
              <w:rPr>
                <w:rFonts w:hint="eastAsia" w:ascii="仿宋" w:hAnsi="仿宋" w:eastAsia="仿宋" w:cs="仿宋"/>
                <w:sz w:val="21"/>
                <w:szCs w:val="21"/>
              </w:rPr>
            </w:pPr>
            <w:r>
              <w:rPr>
                <w:rFonts w:hint="eastAsia" w:ascii="仿宋" w:hAnsi="仿宋" w:eastAsia="仿宋" w:cs="仿宋"/>
                <w:spacing w:val="-2"/>
                <w:sz w:val="21"/>
                <w:szCs w:val="21"/>
              </w:rPr>
              <w:t>0.9</w:t>
            </w:r>
          </w:p>
        </w:tc>
        <w:tc>
          <w:tcPr>
            <w:tcW w:w="410" w:type="pct"/>
            <w:noWrap w:val="0"/>
            <w:vAlign w:val="top"/>
          </w:tcPr>
          <w:p>
            <w:pPr>
              <w:spacing w:line="403" w:lineRule="auto"/>
              <w:rPr>
                <w:rFonts w:hint="eastAsia" w:ascii="仿宋" w:hAnsi="仿宋" w:eastAsia="仿宋" w:cs="仿宋"/>
                <w:sz w:val="21"/>
                <w:szCs w:val="21"/>
              </w:rPr>
            </w:pPr>
          </w:p>
          <w:p>
            <w:pPr>
              <w:pStyle w:val="41"/>
              <w:spacing w:before="68" w:line="182" w:lineRule="auto"/>
              <w:ind w:left="390"/>
              <w:rPr>
                <w:rFonts w:hint="eastAsia" w:ascii="仿宋" w:hAnsi="仿宋" w:eastAsia="仿宋" w:cs="仿宋"/>
                <w:sz w:val="21"/>
                <w:szCs w:val="21"/>
              </w:rPr>
            </w:pPr>
            <w:r>
              <w:rPr>
                <w:rFonts w:hint="eastAsia" w:ascii="仿宋" w:hAnsi="仿宋" w:eastAsia="仿宋" w:cs="仿宋"/>
                <w:spacing w:val="-2"/>
                <w:sz w:val="21"/>
                <w:szCs w:val="21"/>
              </w:rPr>
              <w:t>0.8</w:t>
            </w:r>
          </w:p>
        </w:tc>
        <w:tc>
          <w:tcPr>
            <w:tcW w:w="410" w:type="pct"/>
            <w:noWrap w:val="0"/>
            <w:vAlign w:val="top"/>
          </w:tcPr>
          <w:p>
            <w:pPr>
              <w:spacing w:line="403" w:lineRule="auto"/>
              <w:rPr>
                <w:rFonts w:hint="eastAsia" w:ascii="仿宋" w:hAnsi="仿宋" w:eastAsia="仿宋" w:cs="仿宋"/>
                <w:sz w:val="21"/>
                <w:szCs w:val="21"/>
              </w:rPr>
            </w:pPr>
          </w:p>
          <w:p>
            <w:pPr>
              <w:pStyle w:val="41"/>
              <w:spacing w:before="68" w:line="182" w:lineRule="auto"/>
              <w:ind w:left="391"/>
              <w:rPr>
                <w:rFonts w:hint="eastAsia" w:ascii="仿宋" w:hAnsi="仿宋" w:eastAsia="仿宋" w:cs="仿宋"/>
                <w:sz w:val="21"/>
                <w:szCs w:val="21"/>
              </w:rPr>
            </w:pPr>
            <w:r>
              <w:rPr>
                <w:rFonts w:hint="eastAsia" w:ascii="仿宋" w:hAnsi="仿宋" w:eastAsia="仿宋" w:cs="仿宋"/>
                <w:spacing w:val="-2"/>
                <w:sz w:val="21"/>
                <w:szCs w:val="21"/>
              </w:rPr>
              <w:t>0.7</w:t>
            </w:r>
          </w:p>
        </w:tc>
        <w:tc>
          <w:tcPr>
            <w:tcW w:w="337" w:type="pct"/>
            <w:noWrap w:val="0"/>
            <w:vAlign w:val="top"/>
          </w:tcPr>
          <w:p>
            <w:pPr>
              <w:spacing w:line="403" w:lineRule="auto"/>
              <w:rPr>
                <w:rFonts w:hint="eastAsia" w:ascii="仿宋" w:hAnsi="仿宋" w:eastAsia="仿宋" w:cs="仿宋"/>
                <w:sz w:val="21"/>
                <w:szCs w:val="21"/>
              </w:rPr>
            </w:pPr>
          </w:p>
          <w:p>
            <w:pPr>
              <w:pStyle w:val="41"/>
              <w:spacing w:before="68" w:line="182" w:lineRule="auto"/>
              <w:ind w:left="283"/>
              <w:rPr>
                <w:rFonts w:hint="eastAsia" w:ascii="仿宋" w:hAnsi="仿宋" w:eastAsia="仿宋" w:cs="仿宋"/>
                <w:sz w:val="21"/>
                <w:szCs w:val="21"/>
              </w:rPr>
            </w:pPr>
            <w:r>
              <w:rPr>
                <w:rFonts w:hint="eastAsia" w:ascii="仿宋" w:hAnsi="仿宋" w:eastAsia="仿宋" w:cs="仿宋"/>
                <w:spacing w:val="-2"/>
                <w:sz w:val="21"/>
                <w:szCs w:val="21"/>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jc w:val="center"/>
        </w:trPr>
        <w:tc>
          <w:tcPr>
            <w:tcW w:w="285"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91"/>
              <w:rPr>
                <w:rFonts w:hint="eastAsia" w:ascii="仿宋" w:hAnsi="仿宋" w:eastAsia="仿宋" w:cs="仿宋"/>
                <w:sz w:val="21"/>
                <w:szCs w:val="21"/>
              </w:rPr>
            </w:pPr>
            <w:r>
              <w:rPr>
                <w:rFonts w:hint="eastAsia" w:ascii="仿宋" w:hAnsi="仿宋" w:eastAsia="仿宋" w:cs="仿宋"/>
                <w:sz w:val="21"/>
                <w:szCs w:val="21"/>
              </w:rPr>
              <w:t>4</w:t>
            </w:r>
          </w:p>
        </w:tc>
        <w:tc>
          <w:tcPr>
            <w:tcW w:w="868" w:type="pct"/>
            <w:noWrap w:val="0"/>
            <w:vAlign w:val="top"/>
          </w:tcPr>
          <w:p>
            <w:pPr>
              <w:spacing w:line="368" w:lineRule="auto"/>
              <w:rPr>
                <w:rFonts w:hint="eastAsia" w:ascii="仿宋" w:hAnsi="仿宋" w:eastAsia="仿宋" w:cs="仿宋"/>
                <w:sz w:val="21"/>
                <w:szCs w:val="21"/>
              </w:rPr>
            </w:pPr>
          </w:p>
          <w:p>
            <w:pPr>
              <w:pStyle w:val="41"/>
              <w:spacing w:before="68" w:line="268" w:lineRule="auto"/>
              <w:ind w:left="687" w:right="154" w:hanging="527"/>
              <w:rPr>
                <w:rFonts w:hint="eastAsia" w:ascii="仿宋" w:hAnsi="仿宋" w:eastAsia="仿宋" w:cs="仿宋"/>
                <w:sz w:val="21"/>
                <w:szCs w:val="21"/>
              </w:rPr>
            </w:pPr>
            <w:r>
              <w:rPr>
                <w:rFonts w:hint="eastAsia" w:ascii="仿宋" w:hAnsi="仿宋" w:eastAsia="仿宋" w:cs="仿宋"/>
                <w:spacing w:val="-1"/>
                <w:sz w:val="21"/>
                <w:szCs w:val="21"/>
              </w:rPr>
              <w:t>模拟清单及其最高投标限价编制或审核</w:t>
            </w:r>
          </w:p>
        </w:tc>
        <w:tc>
          <w:tcPr>
            <w:tcW w:w="664" w:type="pct"/>
            <w:noWrap w:val="0"/>
            <w:vAlign w:val="top"/>
          </w:tcPr>
          <w:p>
            <w:pPr>
              <w:pStyle w:val="41"/>
              <w:spacing w:before="79" w:line="292" w:lineRule="auto"/>
              <w:ind w:left="143" w:right="137" w:firstLine="1"/>
              <w:jc w:val="both"/>
              <w:rPr>
                <w:rFonts w:hint="eastAsia" w:ascii="仿宋" w:hAnsi="仿宋" w:eastAsia="仿宋" w:cs="仿宋"/>
                <w:sz w:val="21"/>
                <w:szCs w:val="21"/>
              </w:rPr>
            </w:pPr>
            <w:r>
              <w:rPr>
                <w:rFonts w:hint="eastAsia" w:ascii="仿宋" w:hAnsi="仿宋" w:eastAsia="仿宋" w:cs="仿宋"/>
                <w:spacing w:val="-1"/>
                <w:sz w:val="21"/>
                <w:szCs w:val="21"/>
              </w:rPr>
              <w:t>依据初步设计资</w:t>
            </w:r>
            <w:r>
              <w:rPr>
                <w:rFonts w:hint="eastAsia" w:ascii="仿宋" w:hAnsi="仿宋" w:eastAsia="仿宋" w:cs="仿宋"/>
                <w:sz w:val="21"/>
                <w:szCs w:val="21"/>
              </w:rPr>
              <w:t xml:space="preserve"> </w:t>
            </w:r>
            <w:r>
              <w:rPr>
                <w:rFonts w:hint="eastAsia" w:ascii="仿宋" w:hAnsi="仿宋" w:eastAsia="仿宋" w:cs="仿宋"/>
                <w:spacing w:val="-1"/>
                <w:sz w:val="21"/>
                <w:szCs w:val="21"/>
              </w:rPr>
              <w:t>料及发包人要求</w:t>
            </w:r>
            <w:r>
              <w:rPr>
                <w:rFonts w:hint="eastAsia" w:ascii="仿宋" w:hAnsi="仿宋" w:eastAsia="仿宋" w:cs="仿宋"/>
                <w:spacing w:val="1"/>
                <w:sz w:val="21"/>
                <w:szCs w:val="21"/>
              </w:rPr>
              <w:t xml:space="preserve"> </w:t>
            </w:r>
            <w:r>
              <w:rPr>
                <w:rFonts w:hint="eastAsia" w:ascii="仿宋" w:hAnsi="仿宋" w:eastAsia="仿宋" w:cs="仿宋"/>
                <w:spacing w:val="-1"/>
                <w:sz w:val="21"/>
                <w:szCs w:val="21"/>
              </w:rPr>
              <w:t>编制模拟清单及</w:t>
            </w:r>
            <w:r>
              <w:rPr>
                <w:rFonts w:hint="eastAsia" w:ascii="仿宋" w:hAnsi="仿宋" w:eastAsia="仿宋" w:cs="仿宋"/>
                <w:spacing w:val="1"/>
                <w:sz w:val="21"/>
                <w:szCs w:val="21"/>
              </w:rPr>
              <w:t xml:space="preserve"> </w:t>
            </w:r>
            <w:r>
              <w:rPr>
                <w:rFonts w:hint="eastAsia" w:ascii="仿宋" w:hAnsi="仿宋" w:eastAsia="仿宋" w:cs="仿宋"/>
                <w:spacing w:val="-1"/>
                <w:sz w:val="21"/>
                <w:szCs w:val="21"/>
              </w:rPr>
              <w:t>其最高投标限价</w:t>
            </w:r>
          </w:p>
        </w:tc>
        <w:tc>
          <w:tcPr>
            <w:tcW w:w="387" w:type="pct"/>
            <w:noWrap w:val="0"/>
            <w:vAlign w:val="top"/>
          </w:tcPr>
          <w:p>
            <w:pPr>
              <w:spacing w:line="368" w:lineRule="auto"/>
              <w:rPr>
                <w:rFonts w:hint="eastAsia" w:ascii="仿宋" w:hAnsi="仿宋" w:eastAsia="仿宋" w:cs="仿宋"/>
                <w:sz w:val="21"/>
                <w:szCs w:val="21"/>
              </w:rPr>
            </w:pPr>
          </w:p>
          <w:p>
            <w:pPr>
              <w:pStyle w:val="41"/>
              <w:spacing w:before="68" w:line="268" w:lineRule="auto"/>
              <w:ind w:left="200" w:right="190" w:firstLine="1"/>
              <w:rPr>
                <w:rFonts w:hint="eastAsia" w:ascii="仿宋" w:hAnsi="仿宋" w:eastAsia="仿宋" w:cs="仿宋"/>
                <w:sz w:val="21"/>
                <w:szCs w:val="21"/>
              </w:rPr>
            </w:pPr>
            <w:r>
              <w:rPr>
                <w:rFonts w:hint="eastAsia" w:ascii="仿宋" w:hAnsi="仿宋" w:eastAsia="仿宋" w:cs="仿宋"/>
                <w:spacing w:val="-3"/>
                <w:sz w:val="21"/>
                <w:szCs w:val="21"/>
              </w:rPr>
              <w:t>最高投</w:t>
            </w:r>
            <w:r>
              <w:rPr>
                <w:rFonts w:hint="eastAsia" w:ascii="仿宋" w:hAnsi="仿宋" w:eastAsia="仿宋" w:cs="仿宋"/>
                <w:sz w:val="21"/>
                <w:szCs w:val="21"/>
              </w:rPr>
              <w:t xml:space="preserve"> </w:t>
            </w:r>
            <w:r>
              <w:rPr>
                <w:rFonts w:hint="eastAsia" w:ascii="仿宋" w:hAnsi="仿宋" w:eastAsia="仿宋" w:cs="仿宋"/>
                <w:spacing w:val="-2"/>
                <w:sz w:val="21"/>
                <w:szCs w:val="21"/>
              </w:rPr>
              <w:t>标限价</w:t>
            </w:r>
          </w:p>
        </w:tc>
        <w:tc>
          <w:tcPr>
            <w:tcW w:w="408"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85"/>
              <w:rPr>
                <w:rFonts w:hint="eastAsia" w:ascii="仿宋" w:hAnsi="仿宋" w:eastAsia="仿宋" w:cs="仿宋"/>
                <w:sz w:val="21"/>
                <w:szCs w:val="21"/>
              </w:rPr>
            </w:pPr>
            <w:r>
              <w:rPr>
                <w:rFonts w:hint="eastAsia" w:ascii="仿宋" w:hAnsi="仿宋" w:eastAsia="仿宋" w:cs="仿宋"/>
                <w:spacing w:val="-2"/>
                <w:sz w:val="21"/>
                <w:szCs w:val="21"/>
              </w:rPr>
              <w:t>4.5</w:t>
            </w:r>
          </w:p>
        </w:tc>
        <w:tc>
          <w:tcPr>
            <w:tcW w:w="410"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492"/>
              <w:rPr>
                <w:rFonts w:hint="eastAsia" w:ascii="仿宋" w:hAnsi="仿宋" w:eastAsia="仿宋" w:cs="仿宋"/>
                <w:sz w:val="21"/>
                <w:szCs w:val="21"/>
              </w:rPr>
            </w:pPr>
            <w:r>
              <w:rPr>
                <w:rFonts w:hint="eastAsia" w:ascii="仿宋" w:hAnsi="仿宋" w:eastAsia="仿宋" w:cs="仿宋"/>
                <w:sz w:val="21"/>
                <w:szCs w:val="21"/>
              </w:rPr>
              <w:t>4</w:t>
            </w:r>
          </w:p>
        </w:tc>
        <w:tc>
          <w:tcPr>
            <w:tcW w:w="408"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92"/>
              <w:rPr>
                <w:rFonts w:hint="eastAsia" w:ascii="仿宋" w:hAnsi="仿宋" w:eastAsia="仿宋" w:cs="仿宋"/>
                <w:sz w:val="21"/>
                <w:szCs w:val="21"/>
              </w:rPr>
            </w:pPr>
            <w:r>
              <w:rPr>
                <w:rFonts w:hint="eastAsia" w:ascii="仿宋" w:hAnsi="仿宋" w:eastAsia="仿宋" w:cs="仿宋"/>
                <w:spacing w:val="-3"/>
                <w:sz w:val="21"/>
                <w:szCs w:val="21"/>
              </w:rPr>
              <w:t>3.5</w:t>
            </w:r>
          </w:p>
        </w:tc>
        <w:tc>
          <w:tcPr>
            <w:tcW w:w="410"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498"/>
              <w:rPr>
                <w:rFonts w:hint="eastAsia" w:ascii="仿宋" w:hAnsi="仿宋" w:eastAsia="仿宋" w:cs="仿宋"/>
                <w:sz w:val="21"/>
                <w:szCs w:val="21"/>
              </w:rPr>
            </w:pPr>
            <w:r>
              <w:rPr>
                <w:rFonts w:hint="eastAsia" w:ascii="仿宋" w:hAnsi="仿宋" w:eastAsia="仿宋" w:cs="仿宋"/>
                <w:sz w:val="21"/>
                <w:szCs w:val="21"/>
              </w:rPr>
              <w:t>3</w:t>
            </w:r>
          </w:p>
        </w:tc>
        <w:tc>
          <w:tcPr>
            <w:tcW w:w="410"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91"/>
              <w:rPr>
                <w:rFonts w:hint="eastAsia" w:ascii="仿宋" w:hAnsi="仿宋" w:eastAsia="仿宋" w:cs="仿宋"/>
                <w:sz w:val="21"/>
                <w:szCs w:val="21"/>
              </w:rPr>
            </w:pPr>
            <w:r>
              <w:rPr>
                <w:rFonts w:hint="eastAsia" w:ascii="仿宋" w:hAnsi="仿宋" w:eastAsia="仿宋" w:cs="仿宋"/>
                <w:spacing w:val="-2"/>
                <w:sz w:val="21"/>
                <w:szCs w:val="21"/>
              </w:rPr>
              <w:t>2.5</w:t>
            </w:r>
          </w:p>
        </w:tc>
        <w:tc>
          <w:tcPr>
            <w:tcW w:w="410"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92"/>
              <w:rPr>
                <w:rFonts w:hint="eastAsia" w:ascii="仿宋" w:hAnsi="仿宋" w:eastAsia="仿宋" w:cs="仿宋"/>
                <w:sz w:val="21"/>
                <w:szCs w:val="21"/>
              </w:rPr>
            </w:pPr>
            <w:r>
              <w:rPr>
                <w:rFonts w:hint="eastAsia" w:ascii="仿宋" w:hAnsi="仿宋" w:eastAsia="仿宋" w:cs="仿宋"/>
                <w:spacing w:val="-2"/>
                <w:sz w:val="21"/>
                <w:szCs w:val="21"/>
              </w:rPr>
              <w:t>2.3</w:t>
            </w:r>
          </w:p>
        </w:tc>
        <w:tc>
          <w:tcPr>
            <w:tcW w:w="337"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8" w:line="182" w:lineRule="auto"/>
              <w:ind w:left="389"/>
              <w:rPr>
                <w:rFonts w:hint="eastAsia" w:ascii="仿宋" w:hAnsi="仿宋" w:eastAsia="仿宋" w:cs="仿宋"/>
                <w:sz w:val="21"/>
                <w:szCs w:val="21"/>
              </w:rPr>
            </w:pPr>
            <w:r>
              <w:rPr>
                <w:rFonts w:hint="eastAsia" w:ascii="仿宋" w:hAnsi="仿宋" w:eastAsia="仿宋" w:cs="仿宋"/>
                <w:sz w:val="21"/>
                <w:szCs w:val="21"/>
              </w:rPr>
              <w:t>2</w:t>
            </w:r>
          </w:p>
        </w:tc>
      </w:tr>
    </w:tbl>
    <w:p>
      <w:pPr>
        <w:spacing w:before="78" w:line="218" w:lineRule="auto"/>
        <w:rPr>
          <w:rFonts w:ascii="宋体" w:hAnsi="宋体" w:eastAsia="宋体" w:cs="宋体"/>
          <w:spacing w:val="-5"/>
          <w:sz w:val="24"/>
          <w:szCs w:val="24"/>
        </w:rPr>
      </w:pPr>
    </w:p>
    <w:p>
      <w:pPr>
        <w:spacing w:before="78" w:line="218" w:lineRule="auto"/>
        <w:rPr>
          <w:rFonts w:ascii="宋体" w:hAnsi="宋体" w:eastAsia="宋体" w:cs="宋体"/>
          <w:spacing w:val="-5"/>
          <w:sz w:val="24"/>
          <w:szCs w:val="24"/>
        </w:rPr>
        <w:sectPr>
          <w:pgSz w:w="16830" w:h="11900" w:orient="landscape"/>
          <w:pgMar w:top="1440" w:right="1080" w:bottom="1440" w:left="1080" w:header="0" w:footer="0" w:gutter="0"/>
          <w:pgNumType w:fmt="decimal"/>
          <w:cols w:space="720" w:num="1"/>
        </w:sectPr>
      </w:pPr>
    </w:p>
    <w:tbl>
      <w:tblPr>
        <w:tblStyle w:val="40"/>
        <w:tblW w:w="4763" w:type="pct"/>
        <w:tblInd w:w="7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2"/>
        <w:gridCol w:w="789"/>
        <w:gridCol w:w="738"/>
        <w:gridCol w:w="906"/>
        <w:gridCol w:w="1865"/>
        <w:gridCol w:w="1077"/>
        <w:gridCol w:w="1138"/>
        <w:gridCol w:w="1141"/>
        <w:gridCol w:w="1138"/>
        <w:gridCol w:w="1138"/>
        <w:gridCol w:w="1141"/>
        <w:gridCol w:w="1144"/>
        <w:gridCol w:w="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294" w:type="pct"/>
            <w:noWrap w:val="0"/>
            <w:vAlign w:val="top"/>
          </w:tcPr>
          <w:p>
            <w:pPr>
              <w:spacing w:line="292"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1" w:lineRule="auto"/>
              <w:ind w:left="396"/>
              <w:rPr>
                <w:rFonts w:hint="eastAsia" w:ascii="仿宋" w:hAnsi="仿宋" w:eastAsia="仿宋" w:cs="仿宋"/>
                <w:sz w:val="21"/>
                <w:szCs w:val="21"/>
              </w:rPr>
            </w:pPr>
            <w:r>
              <w:rPr>
                <w:rFonts w:hint="eastAsia" w:ascii="仿宋" w:hAnsi="仿宋" w:eastAsia="仿宋" w:cs="仿宋"/>
                <w:sz w:val="21"/>
                <w:szCs w:val="21"/>
              </w:rPr>
              <w:t>5</w:t>
            </w:r>
          </w:p>
        </w:tc>
        <w:tc>
          <w:tcPr>
            <w:tcW w:w="870" w:type="pct"/>
            <w:gridSpan w:val="3"/>
            <w:noWrap w:val="0"/>
            <w:vAlign w:val="top"/>
          </w:tcPr>
          <w:p>
            <w:pPr>
              <w:spacing w:line="369" w:lineRule="auto"/>
              <w:rPr>
                <w:rFonts w:hint="eastAsia" w:ascii="仿宋" w:hAnsi="仿宋" w:eastAsia="仿宋" w:cs="仿宋"/>
                <w:sz w:val="21"/>
                <w:szCs w:val="21"/>
              </w:rPr>
            </w:pPr>
          </w:p>
          <w:p>
            <w:pPr>
              <w:pStyle w:val="41"/>
              <w:spacing w:before="68" w:line="268" w:lineRule="auto"/>
              <w:ind w:left="582" w:right="155" w:hanging="418"/>
              <w:rPr>
                <w:rFonts w:hint="eastAsia" w:ascii="仿宋" w:hAnsi="仿宋" w:eastAsia="仿宋" w:cs="仿宋"/>
                <w:sz w:val="21"/>
                <w:szCs w:val="21"/>
              </w:rPr>
            </w:pPr>
            <w:r>
              <w:rPr>
                <w:rFonts w:hint="eastAsia" w:ascii="仿宋" w:hAnsi="仿宋" w:eastAsia="仿宋" w:cs="仿宋"/>
                <w:spacing w:val="-1"/>
                <w:sz w:val="21"/>
                <w:szCs w:val="21"/>
              </w:rPr>
              <w:t>最高投标限价（招标控制</w:t>
            </w:r>
            <w:r>
              <w:rPr>
                <w:rFonts w:hint="eastAsia" w:ascii="仿宋" w:hAnsi="仿宋" w:eastAsia="仿宋" w:cs="仿宋"/>
                <w:spacing w:val="3"/>
                <w:sz w:val="21"/>
                <w:szCs w:val="21"/>
              </w:rPr>
              <w:t xml:space="preserve"> </w:t>
            </w:r>
            <w:r>
              <w:rPr>
                <w:rFonts w:hint="eastAsia" w:ascii="仿宋" w:hAnsi="仿宋" w:eastAsia="仿宋" w:cs="仿宋"/>
                <w:spacing w:val="-1"/>
                <w:sz w:val="21"/>
                <w:szCs w:val="21"/>
              </w:rPr>
              <w:t>价）编制和审核</w:t>
            </w:r>
          </w:p>
        </w:tc>
        <w:tc>
          <w:tcPr>
            <w:tcW w:w="667" w:type="pct"/>
            <w:noWrap w:val="0"/>
            <w:vAlign w:val="top"/>
          </w:tcPr>
          <w:p>
            <w:pPr>
              <w:pStyle w:val="41"/>
              <w:spacing w:before="80" w:line="292" w:lineRule="auto"/>
              <w:ind w:left="112" w:right="14" w:firstLine="32"/>
              <w:jc w:val="both"/>
              <w:rPr>
                <w:rFonts w:hint="eastAsia" w:ascii="仿宋" w:hAnsi="仿宋" w:eastAsia="仿宋" w:cs="仿宋"/>
                <w:sz w:val="21"/>
                <w:szCs w:val="21"/>
              </w:rPr>
            </w:pPr>
            <w:r>
              <w:rPr>
                <w:rFonts w:hint="eastAsia" w:ascii="仿宋" w:hAnsi="仿宋" w:eastAsia="仿宋" w:cs="仿宋"/>
                <w:spacing w:val="-1"/>
                <w:sz w:val="21"/>
                <w:szCs w:val="21"/>
              </w:rPr>
              <w:t>依据施工图纸和</w:t>
            </w:r>
            <w:r>
              <w:rPr>
                <w:rFonts w:hint="eastAsia" w:ascii="仿宋" w:hAnsi="仿宋" w:eastAsia="仿宋" w:cs="仿宋"/>
                <w:sz w:val="21"/>
                <w:szCs w:val="21"/>
              </w:rPr>
              <w:t xml:space="preserve">  </w:t>
            </w:r>
            <w:r>
              <w:rPr>
                <w:rFonts w:hint="eastAsia" w:ascii="仿宋" w:hAnsi="仿宋" w:eastAsia="仿宋" w:cs="仿宋"/>
                <w:spacing w:val="3"/>
                <w:sz w:val="21"/>
                <w:szCs w:val="21"/>
              </w:rPr>
              <w:t>相关资料编制或</w:t>
            </w:r>
            <w:r>
              <w:rPr>
                <w:rFonts w:hint="eastAsia" w:ascii="仿宋" w:hAnsi="仿宋" w:eastAsia="仿宋" w:cs="仿宋"/>
                <w:spacing w:val="1"/>
                <w:sz w:val="21"/>
                <w:szCs w:val="21"/>
              </w:rPr>
              <w:t xml:space="preserve">  </w:t>
            </w:r>
            <w:r>
              <w:rPr>
                <w:rFonts w:hint="eastAsia" w:ascii="仿宋" w:hAnsi="仿宋" w:eastAsia="仿宋" w:cs="仿宋"/>
                <w:spacing w:val="3"/>
                <w:sz w:val="21"/>
                <w:szCs w:val="21"/>
              </w:rPr>
              <w:t>审核最高投标限</w:t>
            </w:r>
            <w:r>
              <w:rPr>
                <w:rFonts w:hint="eastAsia" w:ascii="仿宋" w:hAnsi="仿宋" w:eastAsia="仿宋" w:cs="仿宋"/>
                <w:spacing w:val="1"/>
                <w:sz w:val="21"/>
                <w:szCs w:val="21"/>
              </w:rPr>
              <w:t xml:space="preserve">  </w:t>
            </w:r>
            <w:r>
              <w:rPr>
                <w:rFonts w:hint="eastAsia" w:ascii="仿宋" w:hAnsi="仿宋" w:eastAsia="仿宋" w:cs="仿宋"/>
                <w:spacing w:val="-8"/>
                <w:sz w:val="21"/>
                <w:szCs w:val="21"/>
              </w:rPr>
              <w:t>价（招标控制价）</w:t>
            </w:r>
          </w:p>
        </w:tc>
        <w:tc>
          <w:tcPr>
            <w:tcW w:w="385" w:type="pct"/>
            <w:noWrap w:val="0"/>
            <w:vAlign w:val="top"/>
          </w:tcPr>
          <w:p>
            <w:pPr>
              <w:pStyle w:val="41"/>
              <w:spacing w:before="80" w:line="292" w:lineRule="auto"/>
              <w:ind w:left="111" w:right="83" w:firstLine="89"/>
              <w:jc w:val="both"/>
              <w:rPr>
                <w:rFonts w:hint="eastAsia" w:ascii="仿宋" w:hAnsi="仿宋" w:eastAsia="仿宋" w:cs="仿宋"/>
                <w:sz w:val="21"/>
                <w:szCs w:val="21"/>
              </w:rPr>
            </w:pPr>
            <w:r>
              <w:rPr>
                <w:rFonts w:hint="eastAsia" w:ascii="仿宋" w:hAnsi="仿宋" w:eastAsia="仿宋" w:cs="仿宋"/>
                <w:spacing w:val="-3"/>
                <w:sz w:val="21"/>
                <w:szCs w:val="21"/>
              </w:rPr>
              <w:t>最高投</w:t>
            </w:r>
            <w:r>
              <w:rPr>
                <w:rFonts w:hint="eastAsia" w:ascii="仿宋" w:hAnsi="仿宋" w:eastAsia="仿宋" w:cs="仿宋"/>
                <w:sz w:val="21"/>
                <w:szCs w:val="21"/>
              </w:rPr>
              <w:t xml:space="preserve">  </w:t>
            </w:r>
            <w:r>
              <w:rPr>
                <w:rFonts w:hint="eastAsia" w:ascii="仿宋" w:hAnsi="仿宋" w:eastAsia="仿宋" w:cs="仿宋"/>
                <w:spacing w:val="27"/>
                <w:sz w:val="21"/>
                <w:szCs w:val="21"/>
              </w:rPr>
              <w:t>标限价</w:t>
            </w:r>
            <w:r>
              <w:rPr>
                <w:rFonts w:hint="eastAsia" w:ascii="仿宋" w:hAnsi="仿宋" w:eastAsia="仿宋" w:cs="仿宋"/>
                <w:sz w:val="21"/>
                <w:szCs w:val="21"/>
              </w:rPr>
              <w:t xml:space="preserve">  </w:t>
            </w:r>
            <w:r>
              <w:rPr>
                <w:rFonts w:hint="eastAsia" w:ascii="仿宋" w:hAnsi="仿宋" w:eastAsia="仿宋" w:cs="仿宋"/>
                <w:spacing w:val="24"/>
                <w:sz w:val="21"/>
                <w:szCs w:val="21"/>
              </w:rPr>
              <w:t>（招标</w:t>
            </w:r>
            <w:r>
              <w:rPr>
                <w:rFonts w:hint="eastAsia" w:ascii="仿宋" w:hAnsi="仿宋" w:eastAsia="仿宋" w:cs="仿宋"/>
                <w:sz w:val="21"/>
                <w:szCs w:val="21"/>
              </w:rPr>
              <w:t xml:space="preserve">  </w:t>
            </w:r>
            <w:r>
              <w:rPr>
                <w:rFonts w:hint="eastAsia" w:ascii="仿宋" w:hAnsi="仿宋" w:eastAsia="仿宋" w:cs="仿宋"/>
                <w:spacing w:val="-5"/>
                <w:sz w:val="21"/>
                <w:szCs w:val="21"/>
              </w:rPr>
              <w:t>控制价）</w:t>
            </w:r>
          </w:p>
        </w:tc>
        <w:tc>
          <w:tcPr>
            <w:tcW w:w="407" w:type="pct"/>
            <w:noWrap w:val="0"/>
            <w:vAlign w:val="top"/>
          </w:tcPr>
          <w:p>
            <w:pPr>
              <w:spacing w:line="291"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389"/>
              <w:rPr>
                <w:rFonts w:hint="eastAsia" w:ascii="仿宋" w:hAnsi="仿宋" w:eastAsia="仿宋" w:cs="仿宋"/>
                <w:sz w:val="21"/>
                <w:szCs w:val="21"/>
              </w:rPr>
            </w:pPr>
            <w:r>
              <w:rPr>
                <w:rFonts w:hint="eastAsia" w:ascii="仿宋" w:hAnsi="仿宋" w:eastAsia="仿宋" w:cs="仿宋"/>
                <w:spacing w:val="-3"/>
                <w:sz w:val="21"/>
                <w:szCs w:val="21"/>
              </w:rPr>
              <w:t>5.3</w:t>
            </w:r>
          </w:p>
        </w:tc>
        <w:tc>
          <w:tcPr>
            <w:tcW w:w="408" w:type="pct"/>
            <w:noWrap w:val="0"/>
            <w:vAlign w:val="top"/>
          </w:tcPr>
          <w:p>
            <w:pPr>
              <w:spacing w:line="291"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385"/>
              <w:rPr>
                <w:rFonts w:hint="eastAsia" w:ascii="仿宋" w:hAnsi="仿宋" w:eastAsia="仿宋" w:cs="仿宋"/>
                <w:sz w:val="21"/>
                <w:szCs w:val="21"/>
              </w:rPr>
            </w:pPr>
            <w:r>
              <w:rPr>
                <w:rFonts w:hint="eastAsia" w:ascii="仿宋" w:hAnsi="仿宋" w:eastAsia="仿宋" w:cs="仿宋"/>
                <w:spacing w:val="-2"/>
                <w:sz w:val="21"/>
                <w:szCs w:val="21"/>
              </w:rPr>
              <w:t>4.8</w:t>
            </w:r>
          </w:p>
        </w:tc>
        <w:tc>
          <w:tcPr>
            <w:tcW w:w="407" w:type="pct"/>
            <w:noWrap w:val="0"/>
            <w:vAlign w:val="top"/>
          </w:tcPr>
          <w:p>
            <w:pPr>
              <w:spacing w:line="291"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386"/>
              <w:rPr>
                <w:rFonts w:hint="eastAsia" w:ascii="仿宋" w:hAnsi="仿宋" w:eastAsia="仿宋" w:cs="仿宋"/>
                <w:sz w:val="21"/>
                <w:szCs w:val="21"/>
              </w:rPr>
            </w:pPr>
            <w:r>
              <w:rPr>
                <w:rFonts w:hint="eastAsia" w:ascii="仿宋" w:hAnsi="仿宋" w:eastAsia="仿宋" w:cs="仿宋"/>
                <w:spacing w:val="-2"/>
                <w:sz w:val="21"/>
                <w:szCs w:val="21"/>
              </w:rPr>
              <w:t>4.5</w:t>
            </w:r>
          </w:p>
        </w:tc>
        <w:tc>
          <w:tcPr>
            <w:tcW w:w="407" w:type="pct"/>
            <w:noWrap w:val="0"/>
            <w:vAlign w:val="top"/>
          </w:tcPr>
          <w:p>
            <w:pPr>
              <w:spacing w:line="291"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387"/>
              <w:rPr>
                <w:rFonts w:hint="eastAsia" w:ascii="仿宋" w:hAnsi="仿宋" w:eastAsia="仿宋" w:cs="仿宋"/>
                <w:sz w:val="21"/>
                <w:szCs w:val="21"/>
              </w:rPr>
            </w:pPr>
            <w:r>
              <w:rPr>
                <w:rFonts w:hint="eastAsia" w:ascii="仿宋" w:hAnsi="仿宋" w:eastAsia="仿宋" w:cs="仿宋"/>
                <w:spacing w:val="-2"/>
                <w:sz w:val="21"/>
                <w:szCs w:val="21"/>
              </w:rPr>
              <w:t>4.3</w:t>
            </w:r>
          </w:p>
        </w:tc>
        <w:tc>
          <w:tcPr>
            <w:tcW w:w="408" w:type="pct"/>
            <w:noWrap w:val="0"/>
            <w:vAlign w:val="top"/>
          </w:tcPr>
          <w:p>
            <w:pPr>
              <w:spacing w:line="291"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388"/>
              <w:rPr>
                <w:rFonts w:hint="eastAsia" w:ascii="仿宋" w:hAnsi="仿宋" w:eastAsia="仿宋" w:cs="仿宋"/>
                <w:sz w:val="21"/>
                <w:szCs w:val="21"/>
              </w:rPr>
            </w:pPr>
            <w:r>
              <w:rPr>
                <w:rFonts w:hint="eastAsia" w:ascii="仿宋" w:hAnsi="仿宋" w:eastAsia="仿宋" w:cs="仿宋"/>
                <w:spacing w:val="-2"/>
                <w:sz w:val="21"/>
                <w:szCs w:val="21"/>
              </w:rPr>
              <w:t>4.0</w:t>
            </w:r>
          </w:p>
        </w:tc>
        <w:tc>
          <w:tcPr>
            <w:tcW w:w="409" w:type="pct"/>
            <w:noWrap w:val="0"/>
            <w:vAlign w:val="top"/>
          </w:tcPr>
          <w:p>
            <w:pPr>
              <w:spacing w:line="291"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393"/>
              <w:rPr>
                <w:rFonts w:hint="eastAsia" w:ascii="仿宋" w:hAnsi="仿宋" w:eastAsia="仿宋" w:cs="仿宋"/>
                <w:sz w:val="21"/>
                <w:szCs w:val="21"/>
              </w:rPr>
            </w:pPr>
            <w:r>
              <w:rPr>
                <w:rFonts w:hint="eastAsia" w:ascii="仿宋" w:hAnsi="仿宋" w:eastAsia="仿宋" w:cs="仿宋"/>
                <w:spacing w:val="-3"/>
                <w:sz w:val="21"/>
                <w:szCs w:val="21"/>
              </w:rPr>
              <w:t>3.8</w:t>
            </w:r>
          </w:p>
        </w:tc>
        <w:tc>
          <w:tcPr>
            <w:tcW w:w="332" w:type="pct"/>
            <w:noWrap w:val="0"/>
            <w:vAlign w:val="top"/>
          </w:tcPr>
          <w:p>
            <w:pPr>
              <w:spacing w:line="291"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285"/>
              <w:rPr>
                <w:rFonts w:hint="eastAsia" w:ascii="仿宋" w:hAnsi="仿宋" w:eastAsia="仿宋" w:cs="仿宋"/>
                <w:sz w:val="21"/>
                <w:szCs w:val="21"/>
              </w:rPr>
            </w:pPr>
            <w:r>
              <w:rPr>
                <w:rFonts w:hint="eastAsia" w:ascii="仿宋" w:hAnsi="仿宋" w:eastAsia="仿宋" w:cs="仿宋"/>
                <w:spacing w:val="-3"/>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294" w:type="pct"/>
            <w:noWrap w:val="0"/>
            <w:vAlign w:val="top"/>
          </w:tcPr>
          <w:p>
            <w:pPr>
              <w:spacing w:line="401" w:lineRule="auto"/>
              <w:rPr>
                <w:rFonts w:hint="eastAsia" w:ascii="仿宋" w:hAnsi="仿宋" w:eastAsia="仿宋" w:cs="仿宋"/>
                <w:sz w:val="21"/>
                <w:szCs w:val="21"/>
              </w:rPr>
            </w:pPr>
          </w:p>
          <w:p>
            <w:pPr>
              <w:pStyle w:val="41"/>
              <w:spacing w:before="68" w:line="182" w:lineRule="auto"/>
              <w:ind w:left="394"/>
              <w:rPr>
                <w:rFonts w:hint="eastAsia" w:ascii="仿宋" w:hAnsi="仿宋" w:eastAsia="仿宋" w:cs="仿宋"/>
                <w:sz w:val="21"/>
                <w:szCs w:val="21"/>
              </w:rPr>
            </w:pPr>
            <w:r>
              <w:rPr>
                <w:rFonts w:hint="eastAsia" w:ascii="仿宋" w:hAnsi="仿宋" w:eastAsia="仿宋" w:cs="仿宋"/>
                <w:sz w:val="21"/>
                <w:szCs w:val="21"/>
              </w:rPr>
              <w:t>6</w:t>
            </w:r>
          </w:p>
        </w:tc>
        <w:tc>
          <w:tcPr>
            <w:tcW w:w="870" w:type="pct"/>
            <w:gridSpan w:val="3"/>
            <w:noWrap w:val="0"/>
            <w:vAlign w:val="top"/>
          </w:tcPr>
          <w:p>
            <w:pPr>
              <w:spacing w:line="365" w:lineRule="auto"/>
              <w:rPr>
                <w:rFonts w:hint="eastAsia" w:ascii="仿宋" w:hAnsi="仿宋" w:eastAsia="仿宋" w:cs="仿宋"/>
                <w:sz w:val="21"/>
                <w:szCs w:val="21"/>
              </w:rPr>
            </w:pPr>
          </w:p>
          <w:p>
            <w:pPr>
              <w:pStyle w:val="41"/>
              <w:spacing w:before="68" w:line="221" w:lineRule="auto"/>
              <w:ind w:left="266"/>
              <w:rPr>
                <w:rFonts w:hint="eastAsia" w:ascii="仿宋" w:hAnsi="仿宋" w:eastAsia="仿宋" w:cs="仿宋"/>
                <w:sz w:val="21"/>
                <w:szCs w:val="21"/>
              </w:rPr>
            </w:pPr>
            <w:r>
              <w:rPr>
                <w:rFonts w:hint="eastAsia" w:ascii="仿宋" w:hAnsi="仿宋" w:eastAsia="仿宋" w:cs="仿宋"/>
                <w:spacing w:val="-1"/>
                <w:sz w:val="21"/>
                <w:szCs w:val="21"/>
              </w:rPr>
              <w:t>施工图预算编制或审核</w:t>
            </w:r>
          </w:p>
        </w:tc>
        <w:tc>
          <w:tcPr>
            <w:tcW w:w="667" w:type="pct"/>
            <w:noWrap w:val="0"/>
            <w:vAlign w:val="top"/>
          </w:tcPr>
          <w:p>
            <w:pPr>
              <w:pStyle w:val="41"/>
              <w:spacing w:before="75" w:line="285" w:lineRule="auto"/>
              <w:ind w:left="142" w:right="138" w:firstLine="1"/>
              <w:jc w:val="both"/>
              <w:rPr>
                <w:rFonts w:hint="eastAsia" w:ascii="仿宋" w:hAnsi="仿宋" w:eastAsia="仿宋" w:cs="仿宋"/>
                <w:sz w:val="21"/>
                <w:szCs w:val="21"/>
              </w:rPr>
            </w:pPr>
            <w:r>
              <w:rPr>
                <w:rFonts w:hint="eastAsia" w:ascii="仿宋" w:hAnsi="仿宋" w:eastAsia="仿宋" w:cs="仿宋"/>
                <w:spacing w:val="-1"/>
                <w:sz w:val="21"/>
                <w:szCs w:val="21"/>
              </w:rPr>
              <w:t>依据施工图纸和</w:t>
            </w:r>
            <w:r>
              <w:rPr>
                <w:rFonts w:hint="eastAsia" w:ascii="仿宋" w:hAnsi="仿宋" w:eastAsia="仿宋" w:cs="仿宋"/>
                <w:sz w:val="21"/>
                <w:szCs w:val="21"/>
              </w:rPr>
              <w:t xml:space="preserve"> </w:t>
            </w:r>
            <w:r>
              <w:rPr>
                <w:rFonts w:hint="eastAsia" w:ascii="仿宋" w:hAnsi="仿宋" w:eastAsia="仿宋" w:cs="仿宋"/>
                <w:spacing w:val="-1"/>
                <w:sz w:val="21"/>
                <w:szCs w:val="21"/>
              </w:rPr>
              <w:t>相关资料编制或</w:t>
            </w:r>
            <w:r>
              <w:rPr>
                <w:rFonts w:hint="eastAsia" w:ascii="仿宋" w:hAnsi="仿宋" w:eastAsia="仿宋" w:cs="仿宋"/>
                <w:spacing w:val="1"/>
                <w:sz w:val="21"/>
                <w:szCs w:val="21"/>
              </w:rPr>
              <w:t xml:space="preserve"> </w:t>
            </w:r>
            <w:r>
              <w:rPr>
                <w:rFonts w:hint="eastAsia" w:ascii="仿宋" w:hAnsi="仿宋" w:eastAsia="仿宋" w:cs="仿宋"/>
                <w:spacing w:val="-1"/>
                <w:sz w:val="21"/>
                <w:szCs w:val="21"/>
              </w:rPr>
              <w:t>审核施工图预算</w:t>
            </w:r>
          </w:p>
        </w:tc>
        <w:tc>
          <w:tcPr>
            <w:tcW w:w="385" w:type="pct"/>
            <w:noWrap w:val="0"/>
            <w:vAlign w:val="top"/>
          </w:tcPr>
          <w:p>
            <w:pPr>
              <w:spacing w:line="366" w:lineRule="auto"/>
              <w:rPr>
                <w:rFonts w:hint="eastAsia" w:ascii="仿宋" w:hAnsi="仿宋" w:eastAsia="仿宋" w:cs="仿宋"/>
                <w:sz w:val="21"/>
                <w:szCs w:val="21"/>
              </w:rPr>
            </w:pPr>
          </w:p>
          <w:p>
            <w:pPr>
              <w:pStyle w:val="41"/>
              <w:spacing w:before="68" w:line="219" w:lineRule="auto"/>
              <w:ind w:left="200"/>
              <w:rPr>
                <w:rFonts w:hint="eastAsia" w:ascii="仿宋" w:hAnsi="仿宋" w:eastAsia="仿宋" w:cs="仿宋"/>
                <w:sz w:val="21"/>
                <w:szCs w:val="21"/>
              </w:rPr>
            </w:pPr>
            <w:r>
              <w:rPr>
                <w:rFonts w:hint="eastAsia" w:ascii="仿宋" w:hAnsi="仿宋" w:eastAsia="仿宋" w:cs="仿宋"/>
                <w:spacing w:val="-2"/>
                <w:sz w:val="21"/>
                <w:szCs w:val="21"/>
              </w:rPr>
              <w:t>预算价</w:t>
            </w:r>
          </w:p>
        </w:tc>
        <w:tc>
          <w:tcPr>
            <w:tcW w:w="407" w:type="pct"/>
            <w:noWrap w:val="0"/>
            <w:vAlign w:val="top"/>
          </w:tcPr>
          <w:p>
            <w:pPr>
              <w:spacing w:line="401" w:lineRule="auto"/>
              <w:rPr>
                <w:rFonts w:hint="eastAsia" w:ascii="仿宋" w:hAnsi="仿宋" w:eastAsia="仿宋" w:cs="仿宋"/>
                <w:sz w:val="21"/>
                <w:szCs w:val="21"/>
              </w:rPr>
            </w:pPr>
          </w:p>
          <w:p>
            <w:pPr>
              <w:pStyle w:val="41"/>
              <w:spacing w:before="68" w:line="182" w:lineRule="auto"/>
              <w:ind w:left="389"/>
              <w:rPr>
                <w:rFonts w:hint="eastAsia" w:ascii="仿宋" w:hAnsi="仿宋" w:eastAsia="仿宋" w:cs="仿宋"/>
                <w:sz w:val="21"/>
                <w:szCs w:val="21"/>
              </w:rPr>
            </w:pPr>
            <w:r>
              <w:rPr>
                <w:rFonts w:hint="eastAsia" w:ascii="仿宋" w:hAnsi="仿宋" w:eastAsia="仿宋" w:cs="仿宋"/>
                <w:spacing w:val="-3"/>
                <w:sz w:val="21"/>
                <w:szCs w:val="21"/>
              </w:rPr>
              <w:t>5.0</w:t>
            </w:r>
          </w:p>
        </w:tc>
        <w:tc>
          <w:tcPr>
            <w:tcW w:w="408" w:type="pct"/>
            <w:noWrap w:val="0"/>
            <w:vAlign w:val="top"/>
          </w:tcPr>
          <w:p>
            <w:pPr>
              <w:spacing w:line="401" w:lineRule="auto"/>
              <w:rPr>
                <w:rFonts w:hint="eastAsia" w:ascii="仿宋" w:hAnsi="仿宋" w:eastAsia="仿宋" w:cs="仿宋"/>
                <w:sz w:val="21"/>
                <w:szCs w:val="21"/>
              </w:rPr>
            </w:pPr>
          </w:p>
          <w:p>
            <w:pPr>
              <w:pStyle w:val="41"/>
              <w:spacing w:before="68" w:line="182" w:lineRule="auto"/>
              <w:ind w:left="385"/>
              <w:rPr>
                <w:rFonts w:hint="eastAsia" w:ascii="仿宋" w:hAnsi="仿宋" w:eastAsia="仿宋" w:cs="仿宋"/>
                <w:sz w:val="21"/>
                <w:szCs w:val="21"/>
              </w:rPr>
            </w:pPr>
            <w:r>
              <w:rPr>
                <w:rFonts w:hint="eastAsia" w:ascii="仿宋" w:hAnsi="仿宋" w:eastAsia="仿宋" w:cs="仿宋"/>
                <w:spacing w:val="-2"/>
                <w:sz w:val="21"/>
                <w:szCs w:val="21"/>
              </w:rPr>
              <w:t>4.6</w:t>
            </w:r>
          </w:p>
        </w:tc>
        <w:tc>
          <w:tcPr>
            <w:tcW w:w="407" w:type="pct"/>
            <w:noWrap w:val="0"/>
            <w:vAlign w:val="top"/>
          </w:tcPr>
          <w:p>
            <w:pPr>
              <w:spacing w:line="401" w:lineRule="auto"/>
              <w:rPr>
                <w:rFonts w:hint="eastAsia" w:ascii="仿宋" w:hAnsi="仿宋" w:eastAsia="仿宋" w:cs="仿宋"/>
                <w:sz w:val="21"/>
                <w:szCs w:val="21"/>
              </w:rPr>
            </w:pPr>
          </w:p>
          <w:p>
            <w:pPr>
              <w:pStyle w:val="41"/>
              <w:spacing w:before="68" w:line="182" w:lineRule="auto"/>
              <w:ind w:left="386"/>
              <w:rPr>
                <w:rFonts w:hint="eastAsia" w:ascii="仿宋" w:hAnsi="仿宋" w:eastAsia="仿宋" w:cs="仿宋"/>
                <w:sz w:val="21"/>
                <w:szCs w:val="21"/>
              </w:rPr>
            </w:pPr>
            <w:r>
              <w:rPr>
                <w:rFonts w:hint="eastAsia" w:ascii="仿宋" w:hAnsi="仿宋" w:eastAsia="仿宋" w:cs="仿宋"/>
                <w:spacing w:val="-2"/>
                <w:sz w:val="21"/>
                <w:szCs w:val="21"/>
              </w:rPr>
              <w:t>4.2</w:t>
            </w:r>
          </w:p>
        </w:tc>
        <w:tc>
          <w:tcPr>
            <w:tcW w:w="407" w:type="pct"/>
            <w:noWrap w:val="0"/>
            <w:vAlign w:val="top"/>
          </w:tcPr>
          <w:p>
            <w:pPr>
              <w:spacing w:line="401" w:lineRule="auto"/>
              <w:rPr>
                <w:rFonts w:hint="eastAsia" w:ascii="仿宋" w:hAnsi="仿宋" w:eastAsia="仿宋" w:cs="仿宋"/>
                <w:sz w:val="21"/>
                <w:szCs w:val="21"/>
              </w:rPr>
            </w:pPr>
          </w:p>
          <w:p>
            <w:pPr>
              <w:pStyle w:val="41"/>
              <w:spacing w:before="68" w:line="182" w:lineRule="auto"/>
              <w:ind w:left="492"/>
              <w:rPr>
                <w:rFonts w:hint="eastAsia" w:ascii="仿宋" w:hAnsi="仿宋" w:eastAsia="仿宋" w:cs="仿宋"/>
                <w:sz w:val="21"/>
                <w:szCs w:val="21"/>
              </w:rPr>
            </w:pPr>
            <w:r>
              <w:rPr>
                <w:rFonts w:hint="eastAsia" w:ascii="仿宋" w:hAnsi="仿宋" w:eastAsia="仿宋" w:cs="仿宋"/>
                <w:sz w:val="21"/>
                <w:szCs w:val="21"/>
              </w:rPr>
              <w:t>4</w:t>
            </w:r>
          </w:p>
        </w:tc>
        <w:tc>
          <w:tcPr>
            <w:tcW w:w="408" w:type="pct"/>
            <w:noWrap w:val="0"/>
            <w:vAlign w:val="top"/>
          </w:tcPr>
          <w:p>
            <w:pPr>
              <w:spacing w:line="401" w:lineRule="auto"/>
              <w:rPr>
                <w:rFonts w:hint="eastAsia" w:ascii="仿宋" w:hAnsi="仿宋" w:eastAsia="仿宋" w:cs="仿宋"/>
                <w:sz w:val="21"/>
                <w:szCs w:val="21"/>
              </w:rPr>
            </w:pPr>
          </w:p>
          <w:p>
            <w:pPr>
              <w:pStyle w:val="41"/>
              <w:spacing w:before="68" w:line="182" w:lineRule="auto"/>
              <w:ind w:left="393"/>
              <w:rPr>
                <w:rFonts w:hint="eastAsia" w:ascii="仿宋" w:hAnsi="仿宋" w:eastAsia="仿宋" w:cs="仿宋"/>
                <w:sz w:val="21"/>
                <w:szCs w:val="21"/>
              </w:rPr>
            </w:pPr>
            <w:r>
              <w:rPr>
                <w:rFonts w:hint="eastAsia" w:ascii="仿宋" w:hAnsi="仿宋" w:eastAsia="仿宋" w:cs="仿宋"/>
                <w:spacing w:val="-3"/>
                <w:sz w:val="21"/>
                <w:szCs w:val="21"/>
              </w:rPr>
              <w:t>3.8</w:t>
            </w:r>
          </w:p>
        </w:tc>
        <w:tc>
          <w:tcPr>
            <w:tcW w:w="409" w:type="pct"/>
            <w:noWrap w:val="0"/>
            <w:vAlign w:val="top"/>
          </w:tcPr>
          <w:p>
            <w:pPr>
              <w:spacing w:line="401" w:lineRule="auto"/>
              <w:rPr>
                <w:rFonts w:hint="eastAsia" w:ascii="仿宋" w:hAnsi="仿宋" w:eastAsia="仿宋" w:cs="仿宋"/>
                <w:sz w:val="21"/>
                <w:szCs w:val="21"/>
              </w:rPr>
            </w:pPr>
          </w:p>
          <w:p>
            <w:pPr>
              <w:pStyle w:val="41"/>
              <w:spacing w:before="68" w:line="182" w:lineRule="auto"/>
              <w:ind w:left="393"/>
              <w:rPr>
                <w:rFonts w:hint="eastAsia" w:ascii="仿宋" w:hAnsi="仿宋" w:eastAsia="仿宋" w:cs="仿宋"/>
                <w:sz w:val="21"/>
                <w:szCs w:val="21"/>
              </w:rPr>
            </w:pPr>
            <w:r>
              <w:rPr>
                <w:rFonts w:hint="eastAsia" w:ascii="仿宋" w:hAnsi="仿宋" w:eastAsia="仿宋" w:cs="仿宋"/>
                <w:spacing w:val="-3"/>
                <w:sz w:val="21"/>
                <w:szCs w:val="21"/>
              </w:rPr>
              <w:t>3.5</w:t>
            </w:r>
          </w:p>
        </w:tc>
        <w:tc>
          <w:tcPr>
            <w:tcW w:w="332" w:type="pct"/>
            <w:noWrap w:val="0"/>
            <w:vAlign w:val="top"/>
          </w:tcPr>
          <w:p>
            <w:pPr>
              <w:spacing w:line="401" w:lineRule="auto"/>
              <w:rPr>
                <w:rFonts w:hint="eastAsia" w:ascii="仿宋" w:hAnsi="仿宋" w:eastAsia="仿宋" w:cs="仿宋"/>
                <w:sz w:val="21"/>
                <w:szCs w:val="21"/>
              </w:rPr>
            </w:pPr>
          </w:p>
          <w:p>
            <w:pPr>
              <w:pStyle w:val="41"/>
              <w:spacing w:before="68" w:line="182" w:lineRule="auto"/>
              <w:ind w:left="285"/>
              <w:rPr>
                <w:rFonts w:hint="eastAsia" w:ascii="仿宋" w:hAnsi="仿宋" w:eastAsia="仿宋" w:cs="仿宋"/>
                <w:sz w:val="21"/>
                <w:szCs w:val="21"/>
              </w:rPr>
            </w:pPr>
            <w:r>
              <w:rPr>
                <w:rFonts w:hint="eastAsia" w:ascii="仿宋" w:hAnsi="仿宋" w:eastAsia="仿宋" w:cs="仿宋"/>
                <w:spacing w:val="-3"/>
                <w:sz w:val="21"/>
                <w:szCs w:val="21"/>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94" w:type="pct"/>
            <w:noWrap w:val="0"/>
            <w:vAlign w:val="top"/>
          </w:tcPr>
          <w:p>
            <w:pPr>
              <w:pStyle w:val="41"/>
              <w:spacing w:before="293" w:line="181" w:lineRule="auto"/>
              <w:ind w:left="397"/>
              <w:rPr>
                <w:rFonts w:hint="eastAsia" w:ascii="仿宋" w:hAnsi="仿宋" w:eastAsia="仿宋" w:cs="仿宋"/>
                <w:sz w:val="21"/>
                <w:szCs w:val="21"/>
              </w:rPr>
            </w:pPr>
            <w:r>
              <w:rPr>
                <w:rFonts w:hint="eastAsia" w:ascii="仿宋" w:hAnsi="仿宋" w:eastAsia="仿宋" w:cs="仿宋"/>
                <w:sz w:val="21"/>
                <w:szCs w:val="21"/>
              </w:rPr>
              <w:t>7</w:t>
            </w:r>
          </w:p>
        </w:tc>
        <w:tc>
          <w:tcPr>
            <w:tcW w:w="870" w:type="pct"/>
            <w:gridSpan w:val="3"/>
            <w:noWrap w:val="0"/>
            <w:vAlign w:val="top"/>
          </w:tcPr>
          <w:p>
            <w:pPr>
              <w:pStyle w:val="41"/>
              <w:spacing w:before="256" w:line="221" w:lineRule="auto"/>
              <w:ind w:left="689"/>
              <w:rPr>
                <w:rFonts w:hint="eastAsia" w:ascii="仿宋" w:hAnsi="仿宋" w:eastAsia="仿宋" w:cs="仿宋"/>
                <w:sz w:val="21"/>
                <w:szCs w:val="21"/>
              </w:rPr>
            </w:pPr>
            <w:r>
              <w:rPr>
                <w:rFonts w:hint="eastAsia" w:ascii="仿宋" w:hAnsi="仿宋" w:eastAsia="仿宋" w:cs="仿宋"/>
                <w:spacing w:val="-2"/>
                <w:sz w:val="21"/>
                <w:szCs w:val="21"/>
              </w:rPr>
              <w:t>工程结算编制</w:t>
            </w:r>
          </w:p>
        </w:tc>
        <w:tc>
          <w:tcPr>
            <w:tcW w:w="667" w:type="pct"/>
            <w:noWrap w:val="0"/>
            <w:vAlign w:val="top"/>
          </w:tcPr>
          <w:p>
            <w:pPr>
              <w:pStyle w:val="41"/>
              <w:spacing w:before="75" w:line="269" w:lineRule="auto"/>
              <w:ind w:left="354" w:right="138" w:hanging="210"/>
              <w:rPr>
                <w:rFonts w:hint="eastAsia" w:ascii="仿宋" w:hAnsi="仿宋" w:eastAsia="仿宋" w:cs="仿宋"/>
                <w:sz w:val="21"/>
                <w:szCs w:val="21"/>
              </w:rPr>
            </w:pPr>
            <w:r>
              <w:rPr>
                <w:rFonts w:hint="eastAsia" w:ascii="仿宋" w:hAnsi="仿宋" w:eastAsia="仿宋" w:cs="仿宋"/>
                <w:spacing w:val="-1"/>
                <w:sz w:val="21"/>
                <w:szCs w:val="21"/>
              </w:rPr>
              <w:t>依据结算资料编</w:t>
            </w:r>
            <w:r>
              <w:rPr>
                <w:rFonts w:hint="eastAsia" w:ascii="仿宋" w:hAnsi="仿宋" w:eastAsia="仿宋" w:cs="仿宋"/>
                <w:sz w:val="21"/>
                <w:szCs w:val="21"/>
              </w:rPr>
              <w:t xml:space="preserve"> </w:t>
            </w:r>
            <w:r>
              <w:rPr>
                <w:rFonts w:hint="eastAsia" w:ascii="仿宋" w:hAnsi="仿宋" w:eastAsia="仿宋" w:cs="仿宋"/>
                <w:spacing w:val="-2"/>
                <w:sz w:val="21"/>
                <w:szCs w:val="21"/>
              </w:rPr>
              <w:t>制工程结算</w:t>
            </w:r>
          </w:p>
        </w:tc>
        <w:tc>
          <w:tcPr>
            <w:tcW w:w="385" w:type="pct"/>
            <w:noWrap w:val="0"/>
            <w:vAlign w:val="top"/>
          </w:tcPr>
          <w:p>
            <w:pPr>
              <w:pStyle w:val="41"/>
              <w:spacing w:before="256" w:line="219" w:lineRule="auto"/>
              <w:ind w:left="203"/>
              <w:rPr>
                <w:rFonts w:hint="eastAsia" w:ascii="仿宋" w:hAnsi="仿宋" w:eastAsia="仿宋" w:cs="仿宋"/>
                <w:sz w:val="21"/>
                <w:szCs w:val="21"/>
              </w:rPr>
            </w:pPr>
            <w:r>
              <w:rPr>
                <w:rFonts w:hint="eastAsia" w:ascii="仿宋" w:hAnsi="仿宋" w:eastAsia="仿宋" w:cs="仿宋"/>
                <w:spacing w:val="-3"/>
                <w:sz w:val="21"/>
                <w:szCs w:val="21"/>
              </w:rPr>
              <w:t>结算价</w:t>
            </w:r>
          </w:p>
        </w:tc>
        <w:tc>
          <w:tcPr>
            <w:tcW w:w="407" w:type="pct"/>
            <w:noWrap w:val="0"/>
            <w:vAlign w:val="top"/>
          </w:tcPr>
          <w:p>
            <w:pPr>
              <w:pStyle w:val="41"/>
              <w:spacing w:before="292" w:line="182" w:lineRule="auto"/>
              <w:ind w:left="384"/>
              <w:rPr>
                <w:rFonts w:hint="eastAsia" w:ascii="仿宋" w:hAnsi="仿宋" w:eastAsia="仿宋" w:cs="仿宋"/>
                <w:sz w:val="21"/>
                <w:szCs w:val="21"/>
              </w:rPr>
            </w:pPr>
            <w:r>
              <w:rPr>
                <w:rFonts w:hint="eastAsia" w:ascii="仿宋" w:hAnsi="仿宋" w:eastAsia="仿宋" w:cs="仿宋"/>
                <w:spacing w:val="-2"/>
                <w:sz w:val="21"/>
                <w:szCs w:val="21"/>
              </w:rPr>
              <w:t>4.8</w:t>
            </w:r>
          </w:p>
        </w:tc>
        <w:tc>
          <w:tcPr>
            <w:tcW w:w="408" w:type="pct"/>
            <w:noWrap w:val="0"/>
            <w:vAlign w:val="top"/>
          </w:tcPr>
          <w:p>
            <w:pPr>
              <w:pStyle w:val="41"/>
              <w:spacing w:before="292" w:line="182" w:lineRule="auto"/>
              <w:ind w:left="385"/>
              <w:rPr>
                <w:rFonts w:hint="eastAsia" w:ascii="仿宋" w:hAnsi="仿宋" w:eastAsia="仿宋" w:cs="仿宋"/>
                <w:sz w:val="21"/>
                <w:szCs w:val="21"/>
              </w:rPr>
            </w:pPr>
            <w:r>
              <w:rPr>
                <w:rFonts w:hint="eastAsia" w:ascii="仿宋" w:hAnsi="仿宋" w:eastAsia="仿宋" w:cs="仿宋"/>
                <w:spacing w:val="-2"/>
                <w:sz w:val="21"/>
                <w:szCs w:val="21"/>
              </w:rPr>
              <w:t>4.3</w:t>
            </w:r>
          </w:p>
        </w:tc>
        <w:tc>
          <w:tcPr>
            <w:tcW w:w="407" w:type="pct"/>
            <w:noWrap w:val="0"/>
            <w:vAlign w:val="top"/>
          </w:tcPr>
          <w:p>
            <w:pPr>
              <w:pStyle w:val="41"/>
              <w:spacing w:before="292" w:line="182" w:lineRule="auto"/>
              <w:ind w:left="391"/>
              <w:rPr>
                <w:rFonts w:hint="eastAsia" w:ascii="仿宋" w:hAnsi="仿宋" w:eastAsia="仿宋" w:cs="仿宋"/>
                <w:sz w:val="21"/>
                <w:szCs w:val="21"/>
              </w:rPr>
            </w:pPr>
            <w:r>
              <w:rPr>
                <w:rFonts w:hint="eastAsia" w:ascii="仿宋" w:hAnsi="仿宋" w:eastAsia="仿宋" w:cs="仿宋"/>
                <w:spacing w:val="-3"/>
                <w:sz w:val="21"/>
                <w:szCs w:val="21"/>
              </w:rPr>
              <w:t>3.8</w:t>
            </w:r>
          </w:p>
        </w:tc>
        <w:tc>
          <w:tcPr>
            <w:tcW w:w="407" w:type="pct"/>
            <w:noWrap w:val="0"/>
            <w:vAlign w:val="top"/>
          </w:tcPr>
          <w:p>
            <w:pPr>
              <w:pStyle w:val="41"/>
              <w:spacing w:before="292" w:line="182" w:lineRule="auto"/>
              <w:ind w:left="392"/>
              <w:rPr>
                <w:rFonts w:hint="eastAsia" w:ascii="仿宋" w:hAnsi="仿宋" w:eastAsia="仿宋" w:cs="仿宋"/>
                <w:sz w:val="21"/>
                <w:szCs w:val="21"/>
              </w:rPr>
            </w:pPr>
            <w:r>
              <w:rPr>
                <w:rFonts w:hint="eastAsia" w:ascii="仿宋" w:hAnsi="仿宋" w:eastAsia="仿宋" w:cs="仿宋"/>
                <w:spacing w:val="-3"/>
                <w:sz w:val="21"/>
                <w:szCs w:val="21"/>
              </w:rPr>
              <w:t>3.6</w:t>
            </w:r>
          </w:p>
        </w:tc>
        <w:tc>
          <w:tcPr>
            <w:tcW w:w="408" w:type="pct"/>
            <w:noWrap w:val="0"/>
            <w:vAlign w:val="top"/>
          </w:tcPr>
          <w:p>
            <w:pPr>
              <w:pStyle w:val="41"/>
              <w:spacing w:before="292" w:line="182" w:lineRule="auto"/>
              <w:ind w:left="393"/>
              <w:rPr>
                <w:rFonts w:hint="eastAsia" w:ascii="仿宋" w:hAnsi="仿宋" w:eastAsia="仿宋" w:cs="仿宋"/>
                <w:sz w:val="21"/>
                <w:szCs w:val="21"/>
              </w:rPr>
            </w:pPr>
            <w:r>
              <w:rPr>
                <w:rFonts w:hint="eastAsia" w:ascii="仿宋" w:hAnsi="仿宋" w:eastAsia="仿宋" w:cs="仿宋"/>
                <w:spacing w:val="-3"/>
                <w:sz w:val="21"/>
                <w:szCs w:val="21"/>
              </w:rPr>
              <w:t>3.2</w:t>
            </w:r>
          </w:p>
        </w:tc>
        <w:tc>
          <w:tcPr>
            <w:tcW w:w="409" w:type="pct"/>
            <w:noWrap w:val="0"/>
            <w:vAlign w:val="top"/>
          </w:tcPr>
          <w:p>
            <w:pPr>
              <w:pStyle w:val="41"/>
              <w:spacing w:before="292" w:line="182" w:lineRule="auto"/>
              <w:ind w:left="392"/>
              <w:rPr>
                <w:rFonts w:hint="eastAsia" w:ascii="仿宋" w:hAnsi="仿宋" w:eastAsia="仿宋" w:cs="仿宋"/>
                <w:sz w:val="21"/>
                <w:szCs w:val="21"/>
              </w:rPr>
            </w:pPr>
            <w:r>
              <w:rPr>
                <w:rFonts w:hint="eastAsia" w:ascii="仿宋" w:hAnsi="仿宋" w:eastAsia="仿宋" w:cs="仿宋"/>
                <w:spacing w:val="-2"/>
                <w:sz w:val="21"/>
                <w:szCs w:val="21"/>
              </w:rPr>
              <w:t>2.9</w:t>
            </w:r>
          </w:p>
        </w:tc>
        <w:tc>
          <w:tcPr>
            <w:tcW w:w="332" w:type="pct"/>
            <w:noWrap w:val="0"/>
            <w:vAlign w:val="top"/>
          </w:tcPr>
          <w:p>
            <w:pPr>
              <w:pStyle w:val="41"/>
              <w:spacing w:before="292" w:line="182" w:lineRule="auto"/>
              <w:ind w:left="284"/>
              <w:rPr>
                <w:rFonts w:hint="eastAsia" w:ascii="仿宋" w:hAnsi="仿宋" w:eastAsia="仿宋" w:cs="仿宋"/>
                <w:sz w:val="21"/>
                <w:szCs w:val="21"/>
              </w:rPr>
            </w:pPr>
            <w:r>
              <w:rPr>
                <w:rFonts w:hint="eastAsia" w:ascii="仿宋" w:hAnsi="仿宋" w:eastAsia="仿宋" w:cs="仿宋"/>
                <w:spacing w:val="-2"/>
                <w:sz w:val="21"/>
                <w:szCs w:val="21"/>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294" w:type="pct"/>
            <w:vMerge w:val="restart"/>
            <w:tcBorders>
              <w:bottom w:val="nil"/>
            </w:tcBorders>
            <w:noWrap w:val="0"/>
            <w:vAlign w:val="top"/>
          </w:tcPr>
          <w:p>
            <w:pPr>
              <w:spacing w:line="276" w:lineRule="auto"/>
              <w:rPr>
                <w:rFonts w:hint="eastAsia" w:ascii="仿宋" w:hAnsi="仿宋" w:eastAsia="仿宋" w:cs="仿宋"/>
                <w:sz w:val="21"/>
                <w:szCs w:val="21"/>
              </w:rPr>
            </w:pPr>
          </w:p>
          <w:p>
            <w:pPr>
              <w:spacing w:line="276" w:lineRule="auto"/>
              <w:rPr>
                <w:rFonts w:hint="eastAsia" w:ascii="仿宋" w:hAnsi="仿宋" w:eastAsia="仿宋" w:cs="仿宋"/>
                <w:sz w:val="21"/>
                <w:szCs w:val="21"/>
              </w:rPr>
            </w:pPr>
          </w:p>
          <w:p>
            <w:pPr>
              <w:spacing w:line="276" w:lineRule="auto"/>
              <w:rPr>
                <w:rFonts w:hint="eastAsia" w:ascii="仿宋" w:hAnsi="仿宋" w:eastAsia="仿宋" w:cs="仿宋"/>
                <w:sz w:val="21"/>
                <w:szCs w:val="21"/>
              </w:rPr>
            </w:pPr>
          </w:p>
          <w:p>
            <w:pPr>
              <w:spacing w:line="277" w:lineRule="auto"/>
              <w:rPr>
                <w:rFonts w:hint="eastAsia" w:ascii="仿宋" w:hAnsi="仿宋" w:eastAsia="仿宋" w:cs="仿宋"/>
                <w:sz w:val="21"/>
                <w:szCs w:val="21"/>
              </w:rPr>
            </w:pPr>
          </w:p>
          <w:p>
            <w:pPr>
              <w:spacing w:line="277" w:lineRule="auto"/>
              <w:rPr>
                <w:rFonts w:hint="eastAsia" w:ascii="仿宋" w:hAnsi="仿宋" w:eastAsia="仿宋" w:cs="仿宋"/>
                <w:sz w:val="21"/>
                <w:szCs w:val="21"/>
              </w:rPr>
            </w:pPr>
          </w:p>
          <w:p>
            <w:pPr>
              <w:spacing w:line="277" w:lineRule="auto"/>
              <w:rPr>
                <w:rFonts w:hint="eastAsia" w:ascii="仿宋" w:hAnsi="仿宋" w:eastAsia="仿宋" w:cs="仿宋"/>
                <w:sz w:val="21"/>
                <w:szCs w:val="21"/>
              </w:rPr>
            </w:pPr>
          </w:p>
          <w:p>
            <w:pPr>
              <w:pStyle w:val="41"/>
              <w:spacing w:before="68" w:line="182" w:lineRule="auto"/>
              <w:ind w:left="393"/>
              <w:rPr>
                <w:rFonts w:hint="eastAsia" w:ascii="仿宋" w:hAnsi="仿宋" w:eastAsia="仿宋" w:cs="仿宋"/>
                <w:sz w:val="21"/>
                <w:szCs w:val="21"/>
              </w:rPr>
            </w:pPr>
            <w:r>
              <w:rPr>
                <w:rFonts w:hint="eastAsia" w:ascii="仿宋" w:hAnsi="仿宋" w:eastAsia="仿宋" w:cs="仿宋"/>
                <w:sz w:val="21"/>
                <w:szCs w:val="21"/>
              </w:rPr>
              <w:t>8</w:t>
            </w:r>
          </w:p>
        </w:tc>
        <w:tc>
          <w:tcPr>
            <w:tcW w:w="282" w:type="pct"/>
            <w:vMerge w:val="restart"/>
            <w:tcBorders>
              <w:bottom w:val="nil"/>
            </w:tcBorders>
            <w:noWrap w:val="0"/>
            <w:vAlign w:val="top"/>
          </w:tcPr>
          <w:p>
            <w:pPr>
              <w:rPr>
                <w:rFonts w:hint="eastAsia" w:ascii="仿宋" w:hAnsi="仿宋" w:eastAsia="仿宋" w:cs="仿宋"/>
                <w:sz w:val="21"/>
                <w:szCs w:val="21"/>
              </w:rPr>
            </w:pPr>
          </w:p>
          <w:p>
            <w:pPr>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pStyle w:val="41"/>
              <w:spacing w:before="68" w:line="269" w:lineRule="auto"/>
              <w:ind w:left="151" w:right="143"/>
              <w:rPr>
                <w:rFonts w:hint="eastAsia" w:ascii="仿宋" w:hAnsi="仿宋" w:eastAsia="仿宋" w:cs="仿宋"/>
                <w:sz w:val="21"/>
                <w:szCs w:val="21"/>
              </w:rPr>
            </w:pPr>
            <w:r>
              <w:rPr>
                <w:rFonts w:hint="eastAsia" w:ascii="仿宋" w:hAnsi="仿宋" w:eastAsia="仿宋" w:cs="仿宋"/>
                <w:spacing w:val="-3"/>
                <w:sz w:val="21"/>
                <w:szCs w:val="21"/>
              </w:rPr>
              <w:t>工程结</w:t>
            </w:r>
            <w:r>
              <w:rPr>
                <w:rFonts w:hint="eastAsia" w:ascii="仿宋" w:hAnsi="仿宋" w:eastAsia="仿宋" w:cs="仿宋"/>
                <w:sz w:val="21"/>
                <w:szCs w:val="21"/>
              </w:rPr>
              <w:t xml:space="preserve"> </w:t>
            </w:r>
            <w:r>
              <w:rPr>
                <w:rFonts w:hint="eastAsia" w:ascii="仿宋" w:hAnsi="仿宋" w:eastAsia="仿宋" w:cs="仿宋"/>
                <w:spacing w:val="-3"/>
                <w:sz w:val="21"/>
                <w:szCs w:val="21"/>
              </w:rPr>
              <w:t>算审核</w:t>
            </w:r>
          </w:p>
        </w:tc>
        <w:tc>
          <w:tcPr>
            <w:tcW w:w="264" w:type="pct"/>
            <w:vMerge w:val="restart"/>
            <w:tcBorders>
              <w:bottom w:val="nil"/>
            </w:tcBorders>
            <w:noWrap w:val="0"/>
            <w:vAlign w:val="top"/>
          </w:tcPr>
          <w:p>
            <w:pPr>
              <w:spacing w:line="272" w:lineRule="auto"/>
              <w:rPr>
                <w:rFonts w:hint="eastAsia" w:ascii="仿宋" w:hAnsi="仿宋" w:eastAsia="仿宋" w:cs="仿宋"/>
                <w:sz w:val="21"/>
                <w:szCs w:val="21"/>
              </w:rPr>
            </w:pPr>
          </w:p>
          <w:p>
            <w:pPr>
              <w:spacing w:line="272" w:lineRule="auto"/>
              <w:rPr>
                <w:rFonts w:hint="eastAsia" w:ascii="仿宋" w:hAnsi="仿宋" w:eastAsia="仿宋" w:cs="仿宋"/>
                <w:sz w:val="21"/>
                <w:szCs w:val="21"/>
              </w:rPr>
            </w:pPr>
          </w:p>
          <w:p>
            <w:pPr>
              <w:spacing w:line="273" w:lineRule="auto"/>
              <w:rPr>
                <w:rFonts w:hint="eastAsia" w:ascii="仿宋" w:hAnsi="仿宋" w:eastAsia="仿宋" w:cs="仿宋"/>
                <w:sz w:val="21"/>
                <w:szCs w:val="21"/>
              </w:rPr>
            </w:pPr>
          </w:p>
          <w:p>
            <w:pPr>
              <w:pStyle w:val="41"/>
              <w:spacing w:before="68" w:line="285" w:lineRule="auto"/>
              <w:ind w:left="117" w:right="107" w:hanging="5"/>
              <w:jc w:val="both"/>
              <w:rPr>
                <w:rFonts w:hint="eastAsia" w:ascii="仿宋" w:hAnsi="仿宋" w:eastAsia="仿宋" w:cs="仿宋"/>
                <w:sz w:val="21"/>
                <w:szCs w:val="21"/>
              </w:rPr>
            </w:pPr>
            <w:r>
              <w:rPr>
                <w:rFonts w:hint="eastAsia" w:ascii="仿宋" w:hAnsi="仿宋" w:eastAsia="仿宋" w:cs="仿宋"/>
                <w:spacing w:val="-2"/>
                <w:sz w:val="21"/>
                <w:szCs w:val="21"/>
              </w:rPr>
              <w:t>①按基</w:t>
            </w:r>
            <w:r>
              <w:rPr>
                <w:rFonts w:hint="eastAsia" w:ascii="仿宋" w:hAnsi="仿宋" w:eastAsia="仿宋" w:cs="仿宋"/>
                <w:spacing w:val="1"/>
                <w:sz w:val="21"/>
                <w:szCs w:val="21"/>
              </w:rPr>
              <w:t xml:space="preserve"> </w:t>
            </w:r>
            <w:r>
              <w:rPr>
                <w:rFonts w:hint="eastAsia" w:ascii="仿宋" w:hAnsi="仿宋" w:eastAsia="仿宋" w:cs="仿宋"/>
                <w:spacing w:val="14"/>
                <w:sz w:val="21"/>
                <w:szCs w:val="21"/>
              </w:rPr>
              <w:t>本费+</w:t>
            </w:r>
            <w:r>
              <w:rPr>
                <w:rFonts w:hint="eastAsia" w:ascii="仿宋" w:hAnsi="仿宋" w:eastAsia="仿宋" w:cs="仿宋"/>
                <w:sz w:val="21"/>
                <w:szCs w:val="21"/>
              </w:rPr>
              <w:t xml:space="preserve"> </w:t>
            </w:r>
            <w:r>
              <w:rPr>
                <w:rFonts w:hint="eastAsia" w:ascii="仿宋" w:hAnsi="仿宋" w:eastAsia="仿宋" w:cs="仿宋"/>
                <w:spacing w:val="-4"/>
                <w:sz w:val="21"/>
                <w:szCs w:val="21"/>
              </w:rPr>
              <w:t>效益费</w:t>
            </w:r>
          </w:p>
        </w:tc>
        <w:tc>
          <w:tcPr>
            <w:tcW w:w="324" w:type="pct"/>
            <w:noWrap w:val="0"/>
            <w:vAlign w:val="top"/>
          </w:tcPr>
          <w:p>
            <w:pPr>
              <w:spacing w:line="276" w:lineRule="auto"/>
              <w:rPr>
                <w:rFonts w:hint="eastAsia" w:ascii="仿宋" w:hAnsi="仿宋" w:eastAsia="仿宋" w:cs="仿宋"/>
                <w:sz w:val="21"/>
                <w:szCs w:val="21"/>
              </w:rPr>
            </w:pPr>
          </w:p>
          <w:p>
            <w:pPr>
              <w:pStyle w:val="41"/>
              <w:spacing w:before="68" w:line="220" w:lineRule="auto"/>
              <w:ind w:left="113"/>
              <w:rPr>
                <w:rFonts w:hint="eastAsia" w:ascii="仿宋" w:hAnsi="仿宋" w:eastAsia="仿宋" w:cs="仿宋"/>
                <w:sz w:val="21"/>
                <w:szCs w:val="21"/>
              </w:rPr>
            </w:pPr>
            <w:r>
              <w:rPr>
                <w:rFonts w:hint="eastAsia" w:ascii="仿宋" w:hAnsi="仿宋" w:eastAsia="仿宋" w:cs="仿宋"/>
                <w:spacing w:val="-2"/>
                <w:sz w:val="21"/>
                <w:szCs w:val="21"/>
              </w:rPr>
              <w:t>基本费</w:t>
            </w:r>
          </w:p>
        </w:tc>
        <w:tc>
          <w:tcPr>
            <w:tcW w:w="667" w:type="pct"/>
            <w:vMerge w:val="restart"/>
            <w:tcBorders>
              <w:bottom w:val="nil"/>
            </w:tcBorders>
            <w:noWrap w:val="0"/>
            <w:vAlign w:val="top"/>
          </w:tcPr>
          <w:p>
            <w:pPr>
              <w:rPr>
                <w:rFonts w:hint="eastAsia" w:ascii="仿宋" w:hAnsi="仿宋" w:eastAsia="仿宋" w:cs="仿宋"/>
                <w:sz w:val="21"/>
                <w:szCs w:val="21"/>
              </w:rPr>
            </w:pPr>
          </w:p>
          <w:p>
            <w:pPr>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pStyle w:val="41"/>
              <w:spacing w:before="68" w:line="269" w:lineRule="auto"/>
              <w:ind w:left="356" w:right="138" w:hanging="212"/>
              <w:rPr>
                <w:rFonts w:hint="eastAsia" w:ascii="仿宋" w:hAnsi="仿宋" w:eastAsia="仿宋" w:cs="仿宋"/>
                <w:sz w:val="21"/>
                <w:szCs w:val="21"/>
              </w:rPr>
            </w:pPr>
            <w:r>
              <w:rPr>
                <w:rFonts w:hint="eastAsia" w:ascii="仿宋" w:hAnsi="仿宋" w:eastAsia="仿宋" w:cs="仿宋"/>
                <w:spacing w:val="-1"/>
                <w:sz w:val="21"/>
                <w:szCs w:val="21"/>
              </w:rPr>
              <w:t>依据结算资料审</w:t>
            </w:r>
            <w:r>
              <w:rPr>
                <w:rFonts w:hint="eastAsia" w:ascii="仿宋" w:hAnsi="仿宋" w:eastAsia="仿宋" w:cs="仿宋"/>
                <w:sz w:val="21"/>
                <w:szCs w:val="21"/>
              </w:rPr>
              <w:t xml:space="preserve"> </w:t>
            </w:r>
            <w:r>
              <w:rPr>
                <w:rFonts w:hint="eastAsia" w:ascii="仿宋" w:hAnsi="仿宋" w:eastAsia="仿宋" w:cs="仿宋"/>
                <w:spacing w:val="-2"/>
                <w:sz w:val="21"/>
                <w:szCs w:val="21"/>
              </w:rPr>
              <w:t>核工程结算</w:t>
            </w:r>
          </w:p>
        </w:tc>
        <w:tc>
          <w:tcPr>
            <w:tcW w:w="385" w:type="pct"/>
            <w:noWrap w:val="0"/>
            <w:vAlign w:val="top"/>
          </w:tcPr>
          <w:p>
            <w:pPr>
              <w:pStyle w:val="41"/>
              <w:spacing w:before="165" w:line="268" w:lineRule="auto"/>
              <w:ind w:left="407" w:right="191" w:hanging="211"/>
              <w:rPr>
                <w:rFonts w:hint="eastAsia" w:ascii="仿宋" w:hAnsi="仿宋" w:eastAsia="仿宋" w:cs="仿宋"/>
                <w:sz w:val="21"/>
                <w:szCs w:val="21"/>
              </w:rPr>
            </w:pPr>
            <w:r>
              <w:rPr>
                <w:rFonts w:hint="eastAsia" w:ascii="仿宋" w:hAnsi="仿宋" w:eastAsia="仿宋" w:cs="仿宋"/>
                <w:spacing w:val="-1"/>
                <w:sz w:val="21"/>
                <w:szCs w:val="21"/>
              </w:rPr>
              <w:t>送审造</w:t>
            </w:r>
            <w:r>
              <w:rPr>
                <w:rFonts w:hint="eastAsia" w:ascii="仿宋" w:hAnsi="仿宋" w:eastAsia="仿宋" w:cs="仿宋"/>
                <w:sz w:val="21"/>
                <w:szCs w:val="21"/>
              </w:rPr>
              <w:t xml:space="preserve"> 价</w:t>
            </w:r>
          </w:p>
        </w:tc>
        <w:tc>
          <w:tcPr>
            <w:tcW w:w="407" w:type="pct"/>
            <w:noWrap w:val="0"/>
            <w:vAlign w:val="top"/>
          </w:tcPr>
          <w:p>
            <w:pPr>
              <w:spacing w:line="311" w:lineRule="auto"/>
              <w:rPr>
                <w:rFonts w:hint="eastAsia" w:ascii="仿宋" w:hAnsi="仿宋" w:eastAsia="仿宋" w:cs="仿宋"/>
                <w:sz w:val="21"/>
                <w:szCs w:val="21"/>
              </w:rPr>
            </w:pPr>
          </w:p>
          <w:p>
            <w:pPr>
              <w:pStyle w:val="41"/>
              <w:spacing w:before="68" w:line="182" w:lineRule="auto"/>
              <w:ind w:left="389"/>
              <w:rPr>
                <w:rFonts w:hint="eastAsia" w:ascii="仿宋" w:hAnsi="仿宋" w:eastAsia="仿宋" w:cs="仿宋"/>
                <w:sz w:val="21"/>
                <w:szCs w:val="21"/>
              </w:rPr>
            </w:pPr>
            <w:r>
              <w:rPr>
                <w:rFonts w:hint="eastAsia" w:ascii="仿宋" w:hAnsi="仿宋" w:eastAsia="仿宋" w:cs="仿宋"/>
                <w:spacing w:val="-3"/>
                <w:sz w:val="21"/>
                <w:szCs w:val="21"/>
              </w:rPr>
              <w:t>3.0</w:t>
            </w:r>
          </w:p>
        </w:tc>
        <w:tc>
          <w:tcPr>
            <w:tcW w:w="408" w:type="pct"/>
            <w:noWrap w:val="0"/>
            <w:vAlign w:val="top"/>
          </w:tcPr>
          <w:p>
            <w:pPr>
              <w:spacing w:line="311" w:lineRule="auto"/>
              <w:rPr>
                <w:rFonts w:hint="eastAsia" w:ascii="仿宋" w:hAnsi="仿宋" w:eastAsia="仿宋" w:cs="仿宋"/>
                <w:sz w:val="21"/>
                <w:szCs w:val="21"/>
              </w:rPr>
            </w:pPr>
          </w:p>
          <w:p>
            <w:pPr>
              <w:pStyle w:val="41"/>
              <w:spacing w:before="68" w:line="182" w:lineRule="auto"/>
              <w:ind w:left="389"/>
              <w:rPr>
                <w:rFonts w:hint="eastAsia" w:ascii="仿宋" w:hAnsi="仿宋" w:eastAsia="仿宋" w:cs="仿宋"/>
                <w:sz w:val="21"/>
                <w:szCs w:val="21"/>
              </w:rPr>
            </w:pPr>
            <w:r>
              <w:rPr>
                <w:rFonts w:hint="eastAsia" w:ascii="仿宋" w:hAnsi="仿宋" w:eastAsia="仿宋" w:cs="仿宋"/>
                <w:spacing w:val="-2"/>
                <w:sz w:val="21"/>
                <w:szCs w:val="21"/>
              </w:rPr>
              <w:t>2.8</w:t>
            </w:r>
          </w:p>
        </w:tc>
        <w:tc>
          <w:tcPr>
            <w:tcW w:w="407" w:type="pct"/>
            <w:noWrap w:val="0"/>
            <w:vAlign w:val="top"/>
          </w:tcPr>
          <w:p>
            <w:pPr>
              <w:spacing w:line="311" w:lineRule="auto"/>
              <w:rPr>
                <w:rFonts w:hint="eastAsia" w:ascii="仿宋" w:hAnsi="仿宋" w:eastAsia="仿宋" w:cs="仿宋"/>
                <w:sz w:val="21"/>
                <w:szCs w:val="21"/>
              </w:rPr>
            </w:pPr>
          </w:p>
          <w:p>
            <w:pPr>
              <w:pStyle w:val="41"/>
              <w:spacing w:before="68" w:line="182" w:lineRule="auto"/>
              <w:ind w:left="389"/>
              <w:rPr>
                <w:rFonts w:hint="eastAsia" w:ascii="仿宋" w:hAnsi="仿宋" w:eastAsia="仿宋" w:cs="仿宋"/>
                <w:sz w:val="21"/>
                <w:szCs w:val="21"/>
              </w:rPr>
            </w:pPr>
            <w:r>
              <w:rPr>
                <w:rFonts w:hint="eastAsia" w:ascii="仿宋" w:hAnsi="仿宋" w:eastAsia="仿宋" w:cs="仿宋"/>
                <w:spacing w:val="-2"/>
                <w:sz w:val="21"/>
                <w:szCs w:val="21"/>
              </w:rPr>
              <w:t>2.6</w:t>
            </w:r>
          </w:p>
        </w:tc>
        <w:tc>
          <w:tcPr>
            <w:tcW w:w="407" w:type="pct"/>
            <w:noWrap w:val="0"/>
            <w:vAlign w:val="top"/>
          </w:tcPr>
          <w:p>
            <w:pPr>
              <w:spacing w:line="311" w:lineRule="auto"/>
              <w:rPr>
                <w:rFonts w:hint="eastAsia" w:ascii="仿宋" w:hAnsi="仿宋" w:eastAsia="仿宋" w:cs="仿宋"/>
                <w:sz w:val="21"/>
                <w:szCs w:val="21"/>
              </w:rPr>
            </w:pPr>
          </w:p>
          <w:p>
            <w:pPr>
              <w:pStyle w:val="41"/>
              <w:spacing w:before="68" w:line="182" w:lineRule="auto"/>
              <w:ind w:left="390"/>
              <w:rPr>
                <w:rFonts w:hint="eastAsia" w:ascii="仿宋" w:hAnsi="仿宋" w:eastAsia="仿宋" w:cs="仿宋"/>
                <w:sz w:val="21"/>
                <w:szCs w:val="21"/>
              </w:rPr>
            </w:pPr>
            <w:r>
              <w:rPr>
                <w:rFonts w:hint="eastAsia" w:ascii="仿宋" w:hAnsi="仿宋" w:eastAsia="仿宋" w:cs="仿宋"/>
                <w:spacing w:val="-2"/>
                <w:sz w:val="21"/>
                <w:szCs w:val="21"/>
              </w:rPr>
              <w:t>2.4</w:t>
            </w:r>
          </w:p>
        </w:tc>
        <w:tc>
          <w:tcPr>
            <w:tcW w:w="408" w:type="pct"/>
            <w:noWrap w:val="0"/>
            <w:vAlign w:val="top"/>
          </w:tcPr>
          <w:p>
            <w:pPr>
              <w:spacing w:line="311" w:lineRule="auto"/>
              <w:rPr>
                <w:rFonts w:hint="eastAsia" w:ascii="仿宋" w:hAnsi="仿宋" w:eastAsia="仿宋" w:cs="仿宋"/>
                <w:sz w:val="21"/>
                <w:szCs w:val="21"/>
              </w:rPr>
            </w:pPr>
          </w:p>
          <w:p>
            <w:pPr>
              <w:pStyle w:val="41"/>
              <w:spacing w:before="68" w:line="182" w:lineRule="auto"/>
              <w:ind w:left="391"/>
              <w:rPr>
                <w:rFonts w:hint="eastAsia" w:ascii="仿宋" w:hAnsi="仿宋" w:eastAsia="仿宋" w:cs="仿宋"/>
                <w:sz w:val="21"/>
                <w:szCs w:val="21"/>
              </w:rPr>
            </w:pPr>
            <w:r>
              <w:rPr>
                <w:rFonts w:hint="eastAsia" w:ascii="仿宋" w:hAnsi="仿宋" w:eastAsia="仿宋" w:cs="仿宋"/>
                <w:spacing w:val="-2"/>
                <w:sz w:val="21"/>
                <w:szCs w:val="21"/>
              </w:rPr>
              <w:t>2.2</w:t>
            </w:r>
          </w:p>
        </w:tc>
        <w:tc>
          <w:tcPr>
            <w:tcW w:w="409" w:type="pct"/>
            <w:noWrap w:val="0"/>
            <w:vAlign w:val="top"/>
          </w:tcPr>
          <w:p>
            <w:pPr>
              <w:spacing w:line="311" w:lineRule="auto"/>
              <w:rPr>
                <w:rFonts w:hint="eastAsia" w:ascii="仿宋" w:hAnsi="仿宋" w:eastAsia="仿宋" w:cs="仿宋"/>
                <w:sz w:val="21"/>
                <w:szCs w:val="21"/>
              </w:rPr>
            </w:pPr>
          </w:p>
          <w:p>
            <w:pPr>
              <w:pStyle w:val="41"/>
              <w:spacing w:before="68" w:line="182" w:lineRule="auto"/>
              <w:ind w:left="392"/>
              <w:rPr>
                <w:rFonts w:hint="eastAsia" w:ascii="仿宋" w:hAnsi="仿宋" w:eastAsia="仿宋" w:cs="仿宋"/>
                <w:sz w:val="21"/>
                <w:szCs w:val="21"/>
              </w:rPr>
            </w:pPr>
            <w:r>
              <w:rPr>
                <w:rFonts w:hint="eastAsia" w:ascii="仿宋" w:hAnsi="仿宋" w:eastAsia="仿宋" w:cs="仿宋"/>
                <w:spacing w:val="-2"/>
                <w:sz w:val="21"/>
                <w:szCs w:val="21"/>
              </w:rPr>
              <w:t>2.0</w:t>
            </w:r>
          </w:p>
        </w:tc>
        <w:tc>
          <w:tcPr>
            <w:tcW w:w="332" w:type="pct"/>
            <w:noWrap w:val="0"/>
            <w:vAlign w:val="top"/>
          </w:tcPr>
          <w:p>
            <w:pPr>
              <w:spacing w:line="310" w:lineRule="auto"/>
              <w:rPr>
                <w:rFonts w:hint="eastAsia" w:ascii="仿宋" w:hAnsi="仿宋" w:eastAsia="仿宋" w:cs="仿宋"/>
                <w:sz w:val="21"/>
                <w:szCs w:val="21"/>
              </w:rPr>
            </w:pPr>
          </w:p>
          <w:p>
            <w:pPr>
              <w:pStyle w:val="41"/>
              <w:spacing w:before="68" w:line="183" w:lineRule="auto"/>
              <w:ind w:left="297"/>
              <w:rPr>
                <w:rFonts w:hint="eastAsia" w:ascii="仿宋" w:hAnsi="仿宋" w:eastAsia="仿宋" w:cs="仿宋"/>
                <w:sz w:val="21"/>
                <w:szCs w:val="21"/>
              </w:rPr>
            </w:pPr>
            <w:r>
              <w:rPr>
                <w:rFonts w:hint="eastAsia" w:ascii="仿宋" w:hAnsi="仿宋" w:eastAsia="仿宋" w:cs="仿宋"/>
                <w:spacing w:val="-5"/>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294" w:type="pct"/>
            <w:vMerge w:val="continue"/>
            <w:tcBorders>
              <w:top w:val="nil"/>
              <w:bottom w:val="nil"/>
            </w:tcBorders>
            <w:noWrap w:val="0"/>
            <w:vAlign w:val="top"/>
          </w:tcPr>
          <w:p>
            <w:pPr>
              <w:rPr>
                <w:rFonts w:hint="eastAsia" w:ascii="仿宋" w:hAnsi="仿宋" w:eastAsia="仿宋" w:cs="仿宋"/>
                <w:sz w:val="21"/>
                <w:szCs w:val="21"/>
              </w:rPr>
            </w:pPr>
          </w:p>
        </w:tc>
        <w:tc>
          <w:tcPr>
            <w:tcW w:w="282" w:type="pct"/>
            <w:vMerge w:val="continue"/>
            <w:tcBorders>
              <w:top w:val="nil"/>
              <w:bottom w:val="nil"/>
            </w:tcBorders>
            <w:noWrap w:val="0"/>
            <w:vAlign w:val="top"/>
          </w:tcPr>
          <w:p>
            <w:pPr>
              <w:rPr>
                <w:rFonts w:hint="eastAsia" w:ascii="仿宋" w:hAnsi="仿宋" w:eastAsia="仿宋" w:cs="仿宋"/>
                <w:sz w:val="21"/>
                <w:szCs w:val="21"/>
              </w:rPr>
            </w:pPr>
          </w:p>
        </w:tc>
        <w:tc>
          <w:tcPr>
            <w:tcW w:w="264" w:type="pct"/>
            <w:vMerge w:val="continue"/>
            <w:tcBorders>
              <w:top w:val="nil"/>
            </w:tcBorders>
            <w:noWrap w:val="0"/>
            <w:vAlign w:val="top"/>
          </w:tcPr>
          <w:p>
            <w:pPr>
              <w:rPr>
                <w:rFonts w:hint="eastAsia" w:ascii="仿宋" w:hAnsi="仿宋" w:eastAsia="仿宋" w:cs="仿宋"/>
                <w:sz w:val="21"/>
                <w:szCs w:val="21"/>
              </w:rPr>
            </w:pPr>
          </w:p>
        </w:tc>
        <w:tc>
          <w:tcPr>
            <w:tcW w:w="324" w:type="pct"/>
            <w:noWrap w:val="0"/>
            <w:vAlign w:val="top"/>
          </w:tcPr>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pStyle w:val="41"/>
              <w:spacing w:before="68" w:line="221" w:lineRule="auto"/>
              <w:ind w:left="118"/>
              <w:rPr>
                <w:rFonts w:hint="eastAsia" w:ascii="仿宋" w:hAnsi="仿宋" w:eastAsia="仿宋" w:cs="仿宋"/>
                <w:sz w:val="21"/>
                <w:szCs w:val="21"/>
              </w:rPr>
            </w:pPr>
            <w:r>
              <w:rPr>
                <w:rFonts w:hint="eastAsia" w:ascii="仿宋" w:hAnsi="仿宋" w:eastAsia="仿宋" w:cs="仿宋"/>
                <w:spacing w:val="-3"/>
                <w:sz w:val="21"/>
                <w:szCs w:val="21"/>
              </w:rPr>
              <w:t>效益费</w:t>
            </w:r>
          </w:p>
        </w:tc>
        <w:tc>
          <w:tcPr>
            <w:tcW w:w="667" w:type="pct"/>
            <w:vMerge w:val="continue"/>
            <w:tcBorders>
              <w:top w:val="nil"/>
              <w:bottom w:val="nil"/>
            </w:tcBorders>
            <w:noWrap w:val="0"/>
            <w:vAlign w:val="top"/>
          </w:tcPr>
          <w:p>
            <w:pPr>
              <w:rPr>
                <w:rFonts w:hint="eastAsia" w:ascii="仿宋" w:hAnsi="仿宋" w:eastAsia="仿宋" w:cs="仿宋"/>
                <w:sz w:val="21"/>
                <w:szCs w:val="21"/>
              </w:rPr>
            </w:pPr>
          </w:p>
        </w:tc>
        <w:tc>
          <w:tcPr>
            <w:tcW w:w="385" w:type="pct"/>
            <w:noWrap w:val="0"/>
            <w:vAlign w:val="top"/>
          </w:tcPr>
          <w:p>
            <w:pPr>
              <w:pStyle w:val="41"/>
              <w:spacing w:before="80" w:line="297" w:lineRule="auto"/>
              <w:ind w:left="198" w:right="191" w:firstLine="2"/>
              <w:jc w:val="both"/>
              <w:rPr>
                <w:rFonts w:hint="eastAsia" w:ascii="仿宋" w:hAnsi="仿宋" w:eastAsia="仿宋" w:cs="仿宋"/>
                <w:sz w:val="21"/>
                <w:szCs w:val="21"/>
              </w:rPr>
            </w:pPr>
            <w:r>
              <w:rPr>
                <w:rFonts w:hint="eastAsia" w:ascii="仿宋" w:hAnsi="仿宋" w:eastAsia="仿宋" w:cs="仿宋"/>
                <w:spacing w:val="-3"/>
                <w:sz w:val="21"/>
                <w:szCs w:val="21"/>
              </w:rPr>
              <w:t>核减金</w:t>
            </w:r>
            <w:r>
              <w:rPr>
                <w:rFonts w:hint="eastAsia" w:ascii="仿宋" w:hAnsi="仿宋" w:eastAsia="仿宋" w:cs="仿宋"/>
                <w:sz w:val="21"/>
                <w:szCs w:val="21"/>
              </w:rPr>
              <w:t xml:space="preserve"> </w:t>
            </w:r>
            <w:r>
              <w:rPr>
                <w:rFonts w:hint="eastAsia" w:ascii="仿宋" w:hAnsi="仿宋" w:eastAsia="仿宋" w:cs="仿宋"/>
                <w:spacing w:val="-2"/>
                <w:sz w:val="21"/>
                <w:szCs w:val="21"/>
              </w:rPr>
              <w:t>额与核</w:t>
            </w:r>
            <w:r>
              <w:rPr>
                <w:rFonts w:hint="eastAsia" w:ascii="仿宋" w:hAnsi="仿宋" w:eastAsia="仿宋" w:cs="仿宋"/>
                <w:sz w:val="21"/>
                <w:szCs w:val="21"/>
              </w:rPr>
              <w:t xml:space="preserve"> </w:t>
            </w:r>
            <w:r>
              <w:rPr>
                <w:rFonts w:hint="eastAsia" w:ascii="仿宋" w:hAnsi="仿宋" w:eastAsia="仿宋" w:cs="仿宋"/>
                <w:spacing w:val="-2"/>
                <w:sz w:val="21"/>
                <w:szCs w:val="21"/>
              </w:rPr>
              <w:t>增金额</w:t>
            </w:r>
            <w:r>
              <w:rPr>
                <w:rFonts w:hint="eastAsia" w:ascii="仿宋" w:hAnsi="仿宋" w:eastAsia="仿宋" w:cs="仿宋"/>
                <w:sz w:val="21"/>
                <w:szCs w:val="21"/>
              </w:rPr>
              <w:t xml:space="preserve"> </w:t>
            </w:r>
            <w:r>
              <w:rPr>
                <w:rFonts w:hint="eastAsia" w:ascii="仿宋" w:hAnsi="仿宋" w:eastAsia="仿宋" w:cs="仿宋"/>
                <w:spacing w:val="-2"/>
                <w:sz w:val="21"/>
                <w:szCs w:val="21"/>
              </w:rPr>
              <w:t>的绝对</w:t>
            </w:r>
            <w:r>
              <w:rPr>
                <w:rFonts w:hint="eastAsia" w:ascii="仿宋" w:hAnsi="仿宋" w:eastAsia="仿宋" w:cs="仿宋"/>
                <w:sz w:val="21"/>
                <w:szCs w:val="21"/>
              </w:rPr>
              <w:t xml:space="preserve"> </w:t>
            </w:r>
            <w:r>
              <w:rPr>
                <w:rFonts w:hint="eastAsia" w:ascii="仿宋" w:hAnsi="仿宋" w:eastAsia="仿宋" w:cs="仿宋"/>
                <w:spacing w:val="-2"/>
                <w:sz w:val="21"/>
                <w:szCs w:val="21"/>
              </w:rPr>
              <w:t>值之和</w:t>
            </w:r>
          </w:p>
        </w:tc>
        <w:tc>
          <w:tcPr>
            <w:tcW w:w="2783" w:type="pct"/>
            <w:gridSpan w:val="7"/>
            <w:noWrap w:val="0"/>
            <w:vAlign w:val="top"/>
          </w:tcPr>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pStyle w:val="41"/>
              <w:spacing w:before="68" w:line="221" w:lineRule="auto"/>
              <w:ind w:left="2839"/>
              <w:rPr>
                <w:rFonts w:hint="eastAsia" w:ascii="仿宋" w:hAnsi="仿宋" w:eastAsia="仿宋" w:cs="仿宋"/>
                <w:sz w:val="21"/>
                <w:szCs w:val="21"/>
              </w:rPr>
            </w:pPr>
            <w:r>
              <w:rPr>
                <w:rFonts w:hint="eastAsia" w:ascii="仿宋" w:hAnsi="仿宋" w:eastAsia="仿宋" w:cs="仿宋"/>
                <w:spacing w:val="-5"/>
                <w:sz w:val="21"/>
                <w:szCs w:val="21"/>
              </w:rPr>
              <w:t>一审</w:t>
            </w:r>
            <w:r>
              <w:rPr>
                <w:rFonts w:hint="eastAsia" w:ascii="仿宋" w:hAnsi="仿宋" w:eastAsia="仿宋" w:cs="仿宋"/>
                <w:spacing w:val="-37"/>
                <w:sz w:val="21"/>
                <w:szCs w:val="21"/>
              </w:rPr>
              <w:t xml:space="preserve"> </w:t>
            </w:r>
            <w:r>
              <w:rPr>
                <w:rFonts w:hint="eastAsia" w:ascii="仿宋" w:hAnsi="仿宋" w:eastAsia="仿宋" w:cs="仿宋"/>
                <w:spacing w:val="-5"/>
                <w:sz w:val="21"/>
                <w:szCs w:val="21"/>
              </w:rPr>
              <w:t>5%，二审</w:t>
            </w:r>
            <w:r>
              <w:rPr>
                <w:rFonts w:hint="eastAsia" w:ascii="仿宋" w:hAnsi="仿宋" w:eastAsia="仿宋" w:cs="仿宋"/>
                <w:spacing w:val="-28"/>
                <w:sz w:val="21"/>
                <w:szCs w:val="21"/>
              </w:rPr>
              <w:t xml:space="preserve"> </w:t>
            </w:r>
            <w:r>
              <w:rPr>
                <w:rFonts w:hint="eastAsia" w:ascii="仿宋" w:hAnsi="仿宋" w:eastAsia="仿宋" w:cs="仿宋"/>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294" w:type="pct"/>
            <w:vMerge w:val="continue"/>
            <w:tcBorders>
              <w:top w:val="nil"/>
            </w:tcBorders>
            <w:noWrap w:val="0"/>
            <w:vAlign w:val="top"/>
          </w:tcPr>
          <w:p>
            <w:pPr>
              <w:rPr>
                <w:rFonts w:hint="eastAsia" w:ascii="仿宋" w:hAnsi="仿宋" w:eastAsia="仿宋" w:cs="仿宋"/>
                <w:sz w:val="21"/>
                <w:szCs w:val="21"/>
              </w:rPr>
            </w:pPr>
          </w:p>
        </w:tc>
        <w:tc>
          <w:tcPr>
            <w:tcW w:w="282" w:type="pct"/>
            <w:vMerge w:val="continue"/>
            <w:tcBorders>
              <w:top w:val="nil"/>
            </w:tcBorders>
            <w:noWrap w:val="0"/>
            <w:vAlign w:val="top"/>
          </w:tcPr>
          <w:p>
            <w:pPr>
              <w:rPr>
                <w:rFonts w:hint="eastAsia" w:ascii="仿宋" w:hAnsi="仿宋" w:eastAsia="仿宋" w:cs="仿宋"/>
                <w:sz w:val="21"/>
                <w:szCs w:val="21"/>
              </w:rPr>
            </w:pPr>
          </w:p>
        </w:tc>
        <w:tc>
          <w:tcPr>
            <w:tcW w:w="588" w:type="pct"/>
            <w:gridSpan w:val="2"/>
            <w:noWrap w:val="0"/>
            <w:vAlign w:val="top"/>
          </w:tcPr>
          <w:p>
            <w:pPr>
              <w:pStyle w:val="41"/>
              <w:spacing w:before="167" w:line="268" w:lineRule="auto"/>
              <w:ind w:left="749" w:right="114" w:hanging="633"/>
              <w:rPr>
                <w:rFonts w:hint="eastAsia" w:ascii="仿宋" w:hAnsi="仿宋" w:eastAsia="仿宋" w:cs="仿宋"/>
                <w:sz w:val="21"/>
                <w:szCs w:val="21"/>
              </w:rPr>
            </w:pPr>
            <w:r>
              <w:rPr>
                <w:rFonts w:hint="eastAsia" w:ascii="仿宋" w:hAnsi="仿宋" w:eastAsia="仿宋" w:cs="仿宋"/>
                <w:spacing w:val="-1"/>
                <w:sz w:val="21"/>
                <w:szCs w:val="21"/>
              </w:rPr>
              <w:t>②按送审工程造</w:t>
            </w:r>
            <w:r>
              <w:rPr>
                <w:rFonts w:hint="eastAsia" w:ascii="仿宋" w:hAnsi="仿宋" w:eastAsia="仿宋" w:cs="仿宋"/>
                <w:spacing w:val="3"/>
                <w:sz w:val="21"/>
                <w:szCs w:val="21"/>
              </w:rPr>
              <w:t xml:space="preserve"> </w:t>
            </w:r>
            <w:r>
              <w:rPr>
                <w:rFonts w:hint="eastAsia" w:ascii="仿宋" w:hAnsi="仿宋" w:eastAsia="仿宋" w:cs="仿宋"/>
                <w:sz w:val="21"/>
                <w:szCs w:val="21"/>
              </w:rPr>
              <w:t>价</w:t>
            </w:r>
          </w:p>
        </w:tc>
        <w:tc>
          <w:tcPr>
            <w:tcW w:w="667" w:type="pct"/>
            <w:vMerge w:val="continue"/>
            <w:tcBorders>
              <w:top w:val="nil"/>
            </w:tcBorders>
            <w:noWrap w:val="0"/>
            <w:vAlign w:val="top"/>
          </w:tcPr>
          <w:p>
            <w:pPr>
              <w:rPr>
                <w:rFonts w:hint="eastAsia" w:ascii="仿宋" w:hAnsi="仿宋" w:eastAsia="仿宋" w:cs="仿宋"/>
                <w:sz w:val="21"/>
                <w:szCs w:val="21"/>
              </w:rPr>
            </w:pPr>
          </w:p>
        </w:tc>
        <w:tc>
          <w:tcPr>
            <w:tcW w:w="385" w:type="pct"/>
            <w:noWrap w:val="0"/>
            <w:vAlign w:val="top"/>
          </w:tcPr>
          <w:p>
            <w:pPr>
              <w:pStyle w:val="41"/>
              <w:spacing w:before="167" w:line="268" w:lineRule="auto"/>
              <w:ind w:left="407" w:right="191" w:hanging="211"/>
              <w:rPr>
                <w:rFonts w:hint="eastAsia" w:ascii="仿宋" w:hAnsi="仿宋" w:eastAsia="仿宋" w:cs="仿宋"/>
                <w:sz w:val="21"/>
                <w:szCs w:val="21"/>
              </w:rPr>
            </w:pPr>
            <w:r>
              <w:rPr>
                <w:rFonts w:hint="eastAsia" w:ascii="仿宋" w:hAnsi="仿宋" w:eastAsia="仿宋" w:cs="仿宋"/>
                <w:spacing w:val="-1"/>
                <w:sz w:val="21"/>
                <w:szCs w:val="21"/>
              </w:rPr>
              <w:t>送审造</w:t>
            </w:r>
            <w:r>
              <w:rPr>
                <w:rFonts w:hint="eastAsia" w:ascii="仿宋" w:hAnsi="仿宋" w:eastAsia="仿宋" w:cs="仿宋"/>
                <w:sz w:val="21"/>
                <w:szCs w:val="21"/>
              </w:rPr>
              <w:t xml:space="preserve"> 价</w:t>
            </w:r>
          </w:p>
        </w:tc>
        <w:tc>
          <w:tcPr>
            <w:tcW w:w="407" w:type="pct"/>
            <w:noWrap w:val="0"/>
            <w:vAlign w:val="top"/>
          </w:tcPr>
          <w:p>
            <w:pPr>
              <w:spacing w:line="313" w:lineRule="auto"/>
              <w:rPr>
                <w:rFonts w:hint="eastAsia" w:ascii="仿宋" w:hAnsi="仿宋" w:eastAsia="仿宋" w:cs="仿宋"/>
                <w:sz w:val="21"/>
                <w:szCs w:val="21"/>
              </w:rPr>
            </w:pPr>
          </w:p>
          <w:p>
            <w:pPr>
              <w:pStyle w:val="41"/>
              <w:spacing w:before="68" w:line="182" w:lineRule="auto"/>
              <w:ind w:left="384"/>
              <w:rPr>
                <w:rFonts w:hint="eastAsia" w:ascii="仿宋" w:hAnsi="仿宋" w:eastAsia="仿宋" w:cs="仿宋"/>
                <w:sz w:val="21"/>
                <w:szCs w:val="21"/>
              </w:rPr>
            </w:pPr>
            <w:r>
              <w:rPr>
                <w:rFonts w:hint="eastAsia" w:ascii="仿宋" w:hAnsi="仿宋" w:eastAsia="仿宋" w:cs="仿宋"/>
                <w:spacing w:val="-2"/>
                <w:sz w:val="21"/>
                <w:szCs w:val="21"/>
              </w:rPr>
              <w:t>4.5</w:t>
            </w:r>
          </w:p>
        </w:tc>
        <w:tc>
          <w:tcPr>
            <w:tcW w:w="408" w:type="pct"/>
            <w:noWrap w:val="0"/>
            <w:vAlign w:val="top"/>
          </w:tcPr>
          <w:p>
            <w:pPr>
              <w:spacing w:line="312" w:lineRule="auto"/>
              <w:rPr>
                <w:rFonts w:hint="eastAsia" w:ascii="仿宋" w:hAnsi="仿宋" w:eastAsia="仿宋" w:cs="仿宋"/>
                <w:sz w:val="21"/>
                <w:szCs w:val="21"/>
              </w:rPr>
            </w:pPr>
          </w:p>
          <w:p>
            <w:pPr>
              <w:pStyle w:val="41"/>
              <w:spacing w:before="68" w:line="183" w:lineRule="auto"/>
              <w:ind w:left="385"/>
              <w:rPr>
                <w:rFonts w:hint="eastAsia" w:ascii="仿宋" w:hAnsi="仿宋" w:eastAsia="仿宋" w:cs="仿宋"/>
                <w:sz w:val="21"/>
                <w:szCs w:val="21"/>
              </w:rPr>
            </w:pPr>
            <w:r>
              <w:rPr>
                <w:rFonts w:hint="eastAsia" w:ascii="仿宋" w:hAnsi="仿宋" w:eastAsia="仿宋" w:cs="仿宋"/>
                <w:spacing w:val="-2"/>
                <w:sz w:val="21"/>
                <w:szCs w:val="21"/>
              </w:rPr>
              <w:t>4.1</w:t>
            </w:r>
          </w:p>
        </w:tc>
        <w:tc>
          <w:tcPr>
            <w:tcW w:w="407" w:type="pct"/>
            <w:noWrap w:val="0"/>
            <w:vAlign w:val="top"/>
          </w:tcPr>
          <w:p>
            <w:pPr>
              <w:spacing w:line="313" w:lineRule="auto"/>
              <w:rPr>
                <w:rFonts w:hint="eastAsia" w:ascii="仿宋" w:hAnsi="仿宋" w:eastAsia="仿宋" w:cs="仿宋"/>
                <w:sz w:val="21"/>
                <w:szCs w:val="21"/>
              </w:rPr>
            </w:pPr>
          </w:p>
          <w:p>
            <w:pPr>
              <w:pStyle w:val="41"/>
              <w:spacing w:before="68" w:line="182" w:lineRule="auto"/>
              <w:ind w:left="391"/>
              <w:rPr>
                <w:rFonts w:hint="eastAsia" w:ascii="仿宋" w:hAnsi="仿宋" w:eastAsia="仿宋" w:cs="仿宋"/>
                <w:sz w:val="21"/>
                <w:szCs w:val="21"/>
              </w:rPr>
            </w:pPr>
            <w:r>
              <w:rPr>
                <w:rFonts w:hint="eastAsia" w:ascii="仿宋" w:hAnsi="仿宋" w:eastAsia="仿宋" w:cs="仿宋"/>
                <w:spacing w:val="-3"/>
                <w:sz w:val="21"/>
                <w:szCs w:val="21"/>
              </w:rPr>
              <w:t>3.6</w:t>
            </w:r>
          </w:p>
        </w:tc>
        <w:tc>
          <w:tcPr>
            <w:tcW w:w="407" w:type="pct"/>
            <w:noWrap w:val="0"/>
            <w:vAlign w:val="top"/>
          </w:tcPr>
          <w:p>
            <w:pPr>
              <w:spacing w:line="313" w:lineRule="auto"/>
              <w:rPr>
                <w:rFonts w:hint="eastAsia" w:ascii="仿宋" w:hAnsi="仿宋" w:eastAsia="仿宋" w:cs="仿宋"/>
                <w:sz w:val="21"/>
                <w:szCs w:val="21"/>
              </w:rPr>
            </w:pPr>
          </w:p>
          <w:p>
            <w:pPr>
              <w:pStyle w:val="41"/>
              <w:spacing w:before="68" w:line="182" w:lineRule="auto"/>
              <w:ind w:left="392"/>
              <w:rPr>
                <w:rFonts w:hint="eastAsia" w:ascii="仿宋" w:hAnsi="仿宋" w:eastAsia="仿宋" w:cs="仿宋"/>
                <w:sz w:val="21"/>
                <w:szCs w:val="21"/>
              </w:rPr>
            </w:pPr>
            <w:r>
              <w:rPr>
                <w:rFonts w:hint="eastAsia" w:ascii="仿宋" w:hAnsi="仿宋" w:eastAsia="仿宋" w:cs="仿宋"/>
                <w:spacing w:val="-3"/>
                <w:sz w:val="21"/>
                <w:szCs w:val="21"/>
              </w:rPr>
              <w:t>3.0</w:t>
            </w:r>
          </w:p>
        </w:tc>
        <w:tc>
          <w:tcPr>
            <w:tcW w:w="408" w:type="pct"/>
            <w:noWrap w:val="0"/>
            <w:vAlign w:val="top"/>
          </w:tcPr>
          <w:p>
            <w:pPr>
              <w:spacing w:line="313" w:lineRule="auto"/>
              <w:rPr>
                <w:rFonts w:hint="eastAsia" w:ascii="仿宋" w:hAnsi="仿宋" w:eastAsia="仿宋" w:cs="仿宋"/>
                <w:sz w:val="21"/>
                <w:szCs w:val="21"/>
              </w:rPr>
            </w:pPr>
          </w:p>
          <w:p>
            <w:pPr>
              <w:pStyle w:val="41"/>
              <w:spacing w:before="68" w:line="182" w:lineRule="auto"/>
              <w:ind w:left="391"/>
              <w:rPr>
                <w:rFonts w:hint="eastAsia" w:ascii="仿宋" w:hAnsi="仿宋" w:eastAsia="仿宋" w:cs="仿宋"/>
                <w:sz w:val="21"/>
                <w:szCs w:val="21"/>
              </w:rPr>
            </w:pPr>
            <w:r>
              <w:rPr>
                <w:rFonts w:hint="eastAsia" w:ascii="仿宋" w:hAnsi="仿宋" w:eastAsia="仿宋" w:cs="仿宋"/>
                <w:spacing w:val="-2"/>
                <w:sz w:val="21"/>
                <w:szCs w:val="21"/>
              </w:rPr>
              <w:t>2.7</w:t>
            </w:r>
          </w:p>
        </w:tc>
        <w:tc>
          <w:tcPr>
            <w:tcW w:w="409" w:type="pct"/>
            <w:noWrap w:val="0"/>
            <w:vAlign w:val="top"/>
          </w:tcPr>
          <w:p>
            <w:pPr>
              <w:spacing w:line="313" w:lineRule="auto"/>
              <w:rPr>
                <w:rFonts w:hint="eastAsia" w:ascii="仿宋" w:hAnsi="仿宋" w:eastAsia="仿宋" w:cs="仿宋"/>
                <w:sz w:val="21"/>
                <w:szCs w:val="21"/>
              </w:rPr>
            </w:pPr>
          </w:p>
          <w:p>
            <w:pPr>
              <w:pStyle w:val="41"/>
              <w:spacing w:before="68" w:line="182" w:lineRule="auto"/>
              <w:ind w:left="392"/>
              <w:rPr>
                <w:rFonts w:hint="eastAsia" w:ascii="仿宋" w:hAnsi="仿宋" w:eastAsia="仿宋" w:cs="仿宋"/>
                <w:sz w:val="21"/>
                <w:szCs w:val="21"/>
              </w:rPr>
            </w:pPr>
            <w:r>
              <w:rPr>
                <w:rFonts w:hint="eastAsia" w:ascii="仿宋" w:hAnsi="仿宋" w:eastAsia="仿宋" w:cs="仿宋"/>
                <w:spacing w:val="-2"/>
                <w:sz w:val="21"/>
                <w:szCs w:val="21"/>
              </w:rPr>
              <w:t>2.3</w:t>
            </w:r>
          </w:p>
        </w:tc>
        <w:tc>
          <w:tcPr>
            <w:tcW w:w="332" w:type="pct"/>
            <w:noWrap w:val="0"/>
            <w:vAlign w:val="top"/>
          </w:tcPr>
          <w:p>
            <w:pPr>
              <w:spacing w:line="313" w:lineRule="auto"/>
              <w:rPr>
                <w:rFonts w:hint="eastAsia" w:ascii="仿宋" w:hAnsi="仿宋" w:eastAsia="仿宋" w:cs="仿宋"/>
                <w:sz w:val="21"/>
                <w:szCs w:val="21"/>
              </w:rPr>
            </w:pPr>
          </w:p>
          <w:p>
            <w:pPr>
              <w:pStyle w:val="41"/>
              <w:spacing w:before="68" w:line="182" w:lineRule="auto"/>
              <w:ind w:left="284"/>
              <w:rPr>
                <w:rFonts w:hint="eastAsia" w:ascii="仿宋" w:hAnsi="仿宋" w:eastAsia="仿宋" w:cs="仿宋"/>
                <w:sz w:val="21"/>
                <w:szCs w:val="21"/>
              </w:rPr>
            </w:pPr>
            <w:r>
              <w:rPr>
                <w:rFonts w:hint="eastAsia" w:ascii="仿宋" w:hAnsi="仿宋" w:eastAsia="仿宋" w:cs="仿宋"/>
                <w:spacing w:val="-2"/>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294" w:type="pct"/>
            <w:noWrap w:val="0"/>
            <w:vAlign w:val="top"/>
          </w:tcPr>
          <w:p>
            <w:pPr>
              <w:spacing w:line="292"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393"/>
              <w:rPr>
                <w:rFonts w:hint="eastAsia" w:ascii="仿宋" w:hAnsi="仿宋" w:eastAsia="仿宋" w:cs="仿宋"/>
                <w:sz w:val="21"/>
                <w:szCs w:val="21"/>
              </w:rPr>
            </w:pPr>
            <w:r>
              <w:rPr>
                <w:rFonts w:hint="eastAsia" w:ascii="仿宋" w:hAnsi="仿宋" w:eastAsia="仿宋" w:cs="仿宋"/>
                <w:sz w:val="21"/>
                <w:szCs w:val="21"/>
              </w:rPr>
              <w:t>9</w:t>
            </w:r>
          </w:p>
        </w:tc>
        <w:tc>
          <w:tcPr>
            <w:tcW w:w="282" w:type="pct"/>
            <w:noWrap w:val="0"/>
            <w:vAlign w:val="top"/>
          </w:tcPr>
          <w:p>
            <w:pPr>
              <w:pStyle w:val="41"/>
              <w:spacing w:before="260" w:line="221" w:lineRule="auto"/>
              <w:ind w:left="149"/>
              <w:rPr>
                <w:rFonts w:hint="eastAsia" w:ascii="仿宋" w:hAnsi="仿宋" w:eastAsia="仿宋" w:cs="仿宋"/>
                <w:sz w:val="21"/>
                <w:szCs w:val="21"/>
              </w:rPr>
            </w:pPr>
            <w:r>
              <w:rPr>
                <w:rFonts w:hint="eastAsia" w:ascii="仿宋" w:hAnsi="仿宋" w:eastAsia="仿宋" w:cs="仿宋"/>
                <w:spacing w:val="-2"/>
                <w:sz w:val="21"/>
                <w:szCs w:val="21"/>
              </w:rPr>
              <w:t>全过程</w:t>
            </w:r>
          </w:p>
          <w:p>
            <w:pPr>
              <w:pStyle w:val="41"/>
              <w:spacing w:before="109" w:line="219" w:lineRule="auto"/>
              <w:ind w:left="148"/>
              <w:rPr>
                <w:rFonts w:hint="eastAsia" w:ascii="仿宋" w:hAnsi="仿宋" w:eastAsia="仿宋" w:cs="仿宋"/>
                <w:sz w:val="21"/>
                <w:szCs w:val="21"/>
              </w:rPr>
            </w:pPr>
            <w:r>
              <w:rPr>
                <w:rFonts w:hint="eastAsia" w:ascii="仿宋" w:hAnsi="仿宋" w:eastAsia="仿宋" w:cs="仿宋"/>
                <w:spacing w:val="-1"/>
                <w:sz w:val="21"/>
                <w:szCs w:val="21"/>
              </w:rPr>
              <w:t>造价咨</w:t>
            </w:r>
          </w:p>
          <w:p>
            <w:pPr>
              <w:pStyle w:val="41"/>
              <w:spacing w:before="110" w:line="222" w:lineRule="auto"/>
              <w:ind w:left="358"/>
              <w:rPr>
                <w:rFonts w:hint="eastAsia" w:ascii="仿宋" w:hAnsi="仿宋" w:eastAsia="仿宋" w:cs="仿宋"/>
                <w:sz w:val="21"/>
                <w:szCs w:val="21"/>
              </w:rPr>
            </w:pPr>
            <w:r>
              <w:rPr>
                <w:rFonts w:hint="eastAsia" w:ascii="仿宋" w:hAnsi="仿宋" w:eastAsia="仿宋" w:cs="仿宋"/>
                <w:sz w:val="21"/>
                <w:szCs w:val="21"/>
              </w:rPr>
              <w:t>询</w:t>
            </w:r>
          </w:p>
        </w:tc>
        <w:tc>
          <w:tcPr>
            <w:tcW w:w="588" w:type="pct"/>
            <w:gridSpan w:val="2"/>
            <w:noWrap w:val="0"/>
            <w:vAlign w:val="top"/>
          </w:tcPr>
          <w:p>
            <w:pPr>
              <w:spacing w:line="274" w:lineRule="auto"/>
              <w:rPr>
                <w:rFonts w:hint="eastAsia" w:ascii="仿宋" w:hAnsi="仿宋" w:eastAsia="仿宋" w:cs="仿宋"/>
                <w:sz w:val="21"/>
                <w:szCs w:val="21"/>
              </w:rPr>
            </w:pPr>
          </w:p>
          <w:p>
            <w:pPr>
              <w:spacing w:line="274" w:lineRule="auto"/>
              <w:rPr>
                <w:rFonts w:hint="eastAsia" w:ascii="仿宋" w:hAnsi="仿宋" w:eastAsia="仿宋" w:cs="仿宋"/>
                <w:sz w:val="21"/>
                <w:szCs w:val="21"/>
              </w:rPr>
            </w:pPr>
          </w:p>
          <w:p>
            <w:pPr>
              <w:pStyle w:val="41"/>
              <w:spacing w:before="69" w:line="220" w:lineRule="auto"/>
              <w:ind w:left="538"/>
              <w:rPr>
                <w:rFonts w:hint="eastAsia" w:ascii="仿宋" w:hAnsi="仿宋" w:eastAsia="仿宋" w:cs="仿宋"/>
                <w:sz w:val="21"/>
                <w:szCs w:val="21"/>
              </w:rPr>
            </w:pPr>
            <w:r>
              <w:rPr>
                <w:rFonts w:hint="eastAsia" w:ascii="仿宋" w:hAnsi="仿宋" w:eastAsia="仿宋" w:cs="仿宋"/>
                <w:spacing w:val="-2"/>
                <w:sz w:val="21"/>
                <w:szCs w:val="21"/>
              </w:rPr>
              <w:t>基本费</w:t>
            </w:r>
          </w:p>
        </w:tc>
        <w:tc>
          <w:tcPr>
            <w:tcW w:w="667" w:type="pct"/>
            <w:noWrap w:val="0"/>
            <w:vAlign w:val="top"/>
          </w:tcPr>
          <w:p>
            <w:pPr>
              <w:pStyle w:val="41"/>
              <w:spacing w:before="80" w:line="221" w:lineRule="auto"/>
              <w:ind w:left="177"/>
              <w:rPr>
                <w:rFonts w:hint="eastAsia" w:ascii="仿宋" w:hAnsi="仿宋" w:eastAsia="仿宋" w:cs="仿宋"/>
                <w:sz w:val="21"/>
                <w:szCs w:val="21"/>
              </w:rPr>
            </w:pPr>
            <w:r>
              <w:rPr>
                <w:rFonts w:hint="eastAsia" w:ascii="仿宋" w:hAnsi="仿宋" w:eastAsia="仿宋" w:cs="仿宋"/>
                <w:spacing w:val="-6"/>
                <w:sz w:val="21"/>
                <w:szCs w:val="21"/>
              </w:rPr>
              <w:t>自项目立项阶段</w:t>
            </w:r>
          </w:p>
          <w:p>
            <w:pPr>
              <w:pStyle w:val="41"/>
              <w:spacing w:before="108" w:line="221" w:lineRule="auto"/>
              <w:ind w:left="143"/>
              <w:rPr>
                <w:rFonts w:hint="eastAsia" w:ascii="仿宋" w:hAnsi="仿宋" w:eastAsia="仿宋" w:cs="仿宋"/>
                <w:sz w:val="21"/>
                <w:szCs w:val="21"/>
              </w:rPr>
            </w:pPr>
            <w:r>
              <w:rPr>
                <w:rFonts w:hint="eastAsia" w:ascii="仿宋" w:hAnsi="仿宋" w:eastAsia="仿宋" w:cs="仿宋"/>
                <w:spacing w:val="-1"/>
                <w:sz w:val="21"/>
                <w:szCs w:val="21"/>
              </w:rPr>
              <w:t>起至竣工结算的</w:t>
            </w:r>
          </w:p>
          <w:p>
            <w:pPr>
              <w:pStyle w:val="41"/>
              <w:spacing w:before="109" w:line="219" w:lineRule="auto"/>
              <w:ind w:left="142"/>
              <w:rPr>
                <w:rFonts w:hint="eastAsia" w:ascii="仿宋" w:hAnsi="仿宋" w:eastAsia="仿宋" w:cs="仿宋"/>
                <w:sz w:val="21"/>
                <w:szCs w:val="21"/>
              </w:rPr>
            </w:pPr>
            <w:r>
              <w:rPr>
                <w:rFonts w:hint="eastAsia" w:ascii="仿宋" w:hAnsi="仿宋" w:eastAsia="仿宋" w:cs="仿宋"/>
                <w:spacing w:val="-1"/>
                <w:sz w:val="21"/>
                <w:szCs w:val="21"/>
              </w:rPr>
              <w:t>全过程工程造价</w:t>
            </w:r>
          </w:p>
          <w:p>
            <w:pPr>
              <w:pStyle w:val="41"/>
              <w:spacing w:before="110" w:line="222" w:lineRule="auto"/>
              <w:ind w:left="677"/>
              <w:rPr>
                <w:rFonts w:hint="eastAsia" w:ascii="仿宋" w:hAnsi="仿宋" w:eastAsia="仿宋" w:cs="仿宋"/>
                <w:sz w:val="21"/>
                <w:szCs w:val="21"/>
              </w:rPr>
            </w:pPr>
            <w:r>
              <w:rPr>
                <w:rFonts w:hint="eastAsia" w:ascii="仿宋" w:hAnsi="仿宋" w:eastAsia="仿宋" w:cs="仿宋"/>
                <w:spacing w:val="-4"/>
                <w:sz w:val="21"/>
                <w:szCs w:val="21"/>
              </w:rPr>
              <w:t>咨询</w:t>
            </w:r>
          </w:p>
        </w:tc>
        <w:tc>
          <w:tcPr>
            <w:tcW w:w="385" w:type="pct"/>
            <w:noWrap w:val="0"/>
            <w:vAlign w:val="top"/>
          </w:tcPr>
          <w:p>
            <w:pPr>
              <w:spacing w:line="274" w:lineRule="auto"/>
              <w:rPr>
                <w:rFonts w:hint="eastAsia" w:ascii="仿宋" w:hAnsi="仿宋" w:eastAsia="仿宋" w:cs="仿宋"/>
                <w:sz w:val="21"/>
                <w:szCs w:val="21"/>
              </w:rPr>
            </w:pPr>
          </w:p>
          <w:p>
            <w:pPr>
              <w:spacing w:line="275" w:lineRule="auto"/>
              <w:rPr>
                <w:rFonts w:hint="eastAsia" w:ascii="仿宋" w:hAnsi="仿宋" w:eastAsia="仿宋" w:cs="仿宋"/>
                <w:sz w:val="21"/>
                <w:szCs w:val="21"/>
              </w:rPr>
            </w:pPr>
          </w:p>
          <w:p>
            <w:pPr>
              <w:pStyle w:val="41"/>
              <w:spacing w:before="68" w:line="219" w:lineRule="auto"/>
              <w:ind w:left="203"/>
              <w:rPr>
                <w:rFonts w:hint="eastAsia" w:ascii="仿宋" w:hAnsi="仿宋" w:eastAsia="仿宋" w:cs="仿宋"/>
                <w:sz w:val="21"/>
                <w:szCs w:val="21"/>
              </w:rPr>
            </w:pPr>
            <w:r>
              <w:rPr>
                <w:rFonts w:hint="eastAsia" w:ascii="仿宋" w:hAnsi="仿宋" w:eastAsia="仿宋" w:cs="仿宋"/>
                <w:spacing w:val="-3"/>
                <w:sz w:val="21"/>
                <w:szCs w:val="21"/>
              </w:rPr>
              <w:t>结算价</w:t>
            </w:r>
          </w:p>
        </w:tc>
        <w:tc>
          <w:tcPr>
            <w:tcW w:w="407"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9" w:line="183" w:lineRule="auto"/>
              <w:ind w:left="454"/>
              <w:rPr>
                <w:rFonts w:hint="eastAsia" w:ascii="仿宋" w:hAnsi="仿宋" w:eastAsia="仿宋" w:cs="仿宋"/>
                <w:sz w:val="21"/>
                <w:szCs w:val="21"/>
              </w:rPr>
            </w:pPr>
            <w:r>
              <w:rPr>
                <w:rFonts w:hint="eastAsia" w:ascii="仿宋" w:hAnsi="仿宋" w:eastAsia="仿宋" w:cs="仿宋"/>
                <w:spacing w:val="-6"/>
                <w:sz w:val="21"/>
                <w:szCs w:val="21"/>
              </w:rPr>
              <w:t>12</w:t>
            </w:r>
          </w:p>
        </w:tc>
        <w:tc>
          <w:tcPr>
            <w:tcW w:w="408"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9" w:line="183" w:lineRule="auto"/>
              <w:ind w:left="455"/>
              <w:rPr>
                <w:rFonts w:hint="eastAsia" w:ascii="仿宋" w:hAnsi="仿宋" w:eastAsia="仿宋" w:cs="仿宋"/>
                <w:sz w:val="21"/>
                <w:szCs w:val="21"/>
              </w:rPr>
            </w:pPr>
            <w:r>
              <w:rPr>
                <w:rFonts w:hint="eastAsia" w:ascii="仿宋" w:hAnsi="仿宋" w:eastAsia="仿宋" w:cs="仿宋"/>
                <w:spacing w:val="-6"/>
                <w:sz w:val="21"/>
                <w:szCs w:val="21"/>
              </w:rPr>
              <w:t>12</w:t>
            </w:r>
          </w:p>
        </w:tc>
        <w:tc>
          <w:tcPr>
            <w:tcW w:w="407"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9" w:line="183" w:lineRule="auto"/>
              <w:ind w:left="455"/>
              <w:rPr>
                <w:rFonts w:hint="eastAsia" w:ascii="仿宋" w:hAnsi="仿宋" w:eastAsia="仿宋" w:cs="仿宋"/>
                <w:sz w:val="21"/>
                <w:szCs w:val="21"/>
              </w:rPr>
            </w:pPr>
            <w:r>
              <w:rPr>
                <w:rFonts w:hint="eastAsia" w:ascii="仿宋" w:hAnsi="仿宋" w:eastAsia="仿宋" w:cs="仿宋"/>
                <w:spacing w:val="-6"/>
                <w:sz w:val="21"/>
                <w:szCs w:val="21"/>
              </w:rPr>
              <w:t>12</w:t>
            </w:r>
          </w:p>
        </w:tc>
        <w:tc>
          <w:tcPr>
            <w:tcW w:w="407" w:type="pct"/>
            <w:noWrap w:val="0"/>
            <w:vAlign w:val="top"/>
          </w:tcPr>
          <w:p>
            <w:pPr>
              <w:spacing w:line="291" w:lineRule="auto"/>
              <w:rPr>
                <w:rFonts w:hint="eastAsia" w:ascii="仿宋" w:hAnsi="仿宋" w:eastAsia="仿宋" w:cs="仿宋"/>
                <w:sz w:val="21"/>
                <w:szCs w:val="21"/>
              </w:rPr>
            </w:pPr>
          </w:p>
          <w:p>
            <w:pPr>
              <w:spacing w:line="291" w:lineRule="auto"/>
              <w:rPr>
                <w:rFonts w:hint="eastAsia" w:ascii="仿宋" w:hAnsi="仿宋" w:eastAsia="仿宋" w:cs="仿宋"/>
                <w:sz w:val="21"/>
                <w:szCs w:val="21"/>
              </w:rPr>
            </w:pPr>
          </w:p>
          <w:p>
            <w:pPr>
              <w:pStyle w:val="41"/>
              <w:spacing w:before="69" w:line="183" w:lineRule="auto"/>
              <w:ind w:left="456"/>
              <w:rPr>
                <w:rFonts w:hint="eastAsia" w:ascii="仿宋" w:hAnsi="仿宋" w:eastAsia="仿宋" w:cs="仿宋"/>
                <w:sz w:val="21"/>
                <w:szCs w:val="21"/>
              </w:rPr>
            </w:pPr>
            <w:r>
              <w:rPr>
                <w:rFonts w:hint="eastAsia" w:ascii="仿宋" w:hAnsi="仿宋" w:eastAsia="仿宋" w:cs="仿宋"/>
                <w:spacing w:val="-6"/>
                <w:sz w:val="21"/>
                <w:szCs w:val="21"/>
              </w:rPr>
              <w:t>10</w:t>
            </w:r>
          </w:p>
        </w:tc>
        <w:tc>
          <w:tcPr>
            <w:tcW w:w="408" w:type="pct"/>
            <w:noWrap w:val="0"/>
            <w:vAlign w:val="top"/>
          </w:tcPr>
          <w:p>
            <w:pPr>
              <w:spacing w:line="292"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495"/>
              <w:rPr>
                <w:rFonts w:hint="eastAsia" w:ascii="仿宋" w:hAnsi="仿宋" w:eastAsia="仿宋" w:cs="仿宋"/>
                <w:sz w:val="21"/>
                <w:szCs w:val="21"/>
              </w:rPr>
            </w:pPr>
            <w:r>
              <w:rPr>
                <w:rFonts w:hint="eastAsia" w:ascii="仿宋" w:hAnsi="仿宋" w:eastAsia="仿宋" w:cs="仿宋"/>
                <w:sz w:val="21"/>
                <w:szCs w:val="21"/>
              </w:rPr>
              <w:t>9</w:t>
            </w:r>
          </w:p>
        </w:tc>
        <w:tc>
          <w:tcPr>
            <w:tcW w:w="409" w:type="pct"/>
            <w:noWrap w:val="0"/>
            <w:vAlign w:val="top"/>
          </w:tcPr>
          <w:p>
            <w:pPr>
              <w:spacing w:line="292" w:lineRule="auto"/>
              <w:rPr>
                <w:rFonts w:hint="eastAsia" w:ascii="仿宋" w:hAnsi="仿宋" w:eastAsia="仿宋" w:cs="仿宋"/>
                <w:sz w:val="21"/>
                <w:szCs w:val="21"/>
              </w:rPr>
            </w:pPr>
          </w:p>
          <w:p>
            <w:pPr>
              <w:spacing w:line="292" w:lineRule="auto"/>
              <w:rPr>
                <w:rFonts w:hint="eastAsia" w:ascii="仿宋" w:hAnsi="仿宋" w:eastAsia="仿宋" w:cs="仿宋"/>
                <w:sz w:val="21"/>
                <w:szCs w:val="21"/>
              </w:rPr>
            </w:pPr>
          </w:p>
          <w:p>
            <w:pPr>
              <w:pStyle w:val="41"/>
              <w:spacing w:before="68" w:line="182" w:lineRule="auto"/>
              <w:ind w:left="390"/>
              <w:rPr>
                <w:rFonts w:hint="eastAsia" w:ascii="仿宋" w:hAnsi="仿宋" w:eastAsia="仿宋" w:cs="仿宋"/>
                <w:sz w:val="21"/>
                <w:szCs w:val="21"/>
              </w:rPr>
            </w:pPr>
            <w:r>
              <w:rPr>
                <w:rFonts w:hint="eastAsia" w:ascii="仿宋" w:hAnsi="仿宋" w:eastAsia="仿宋" w:cs="仿宋"/>
                <w:spacing w:val="-2"/>
                <w:sz w:val="21"/>
                <w:szCs w:val="21"/>
              </w:rPr>
              <w:t>8.5</w:t>
            </w:r>
          </w:p>
        </w:tc>
        <w:tc>
          <w:tcPr>
            <w:tcW w:w="332" w:type="pct"/>
            <w:noWrap w:val="0"/>
            <w:vAlign w:val="top"/>
          </w:tcPr>
          <w:p>
            <w:pPr>
              <w:spacing w:line="292" w:lineRule="auto"/>
              <w:rPr>
                <w:rFonts w:hint="eastAsia" w:ascii="仿宋" w:hAnsi="仿宋" w:eastAsia="仿宋" w:cs="仿宋"/>
                <w:sz w:val="21"/>
                <w:szCs w:val="21"/>
              </w:rPr>
            </w:pPr>
          </w:p>
          <w:p>
            <w:pPr>
              <w:spacing w:line="293" w:lineRule="auto"/>
              <w:rPr>
                <w:rFonts w:hint="eastAsia" w:ascii="仿宋" w:hAnsi="仿宋" w:eastAsia="仿宋" w:cs="仿宋"/>
                <w:sz w:val="21"/>
                <w:szCs w:val="21"/>
              </w:rPr>
            </w:pPr>
          </w:p>
          <w:p>
            <w:pPr>
              <w:pStyle w:val="41"/>
              <w:spacing w:before="68" w:line="181" w:lineRule="auto"/>
              <w:ind w:left="392"/>
              <w:rPr>
                <w:rFonts w:hint="eastAsia" w:ascii="仿宋" w:hAnsi="仿宋" w:eastAsia="仿宋" w:cs="仿宋"/>
                <w:sz w:val="21"/>
                <w:szCs w:val="21"/>
              </w:rPr>
            </w:pPr>
            <w:r>
              <w:rPr>
                <w:rFonts w:hint="eastAsia" w:ascii="仿宋" w:hAnsi="仿宋" w:eastAsia="仿宋" w:cs="仿宋"/>
                <w:sz w:val="21"/>
                <w:szCs w:val="21"/>
              </w:rPr>
              <w:t>7</w:t>
            </w:r>
          </w:p>
        </w:tc>
      </w:tr>
    </w:tbl>
    <w:p>
      <w:pPr>
        <w:spacing w:before="78" w:line="218" w:lineRule="auto"/>
        <w:rPr>
          <w:rFonts w:ascii="宋体" w:hAnsi="宋体" w:eastAsia="宋体" w:cs="宋体"/>
          <w:spacing w:val="-5"/>
          <w:sz w:val="24"/>
          <w:szCs w:val="24"/>
        </w:rPr>
        <w:sectPr>
          <w:pgSz w:w="16830" w:h="11900" w:orient="landscape"/>
          <w:pgMar w:top="1440" w:right="1080" w:bottom="1440" w:left="1080" w:header="0" w:footer="0" w:gutter="0"/>
          <w:pgNumType w:fmt="decimal"/>
          <w:cols w:space="720" w:num="1"/>
        </w:sectPr>
      </w:pPr>
    </w:p>
    <w:p>
      <w:pPr>
        <w:pStyle w:val="10"/>
        <w:spacing w:before="78" w:line="218" w:lineRule="auto"/>
        <w:ind w:left="5"/>
        <w:rPr>
          <w:sz w:val="24"/>
          <w:szCs w:val="24"/>
        </w:rPr>
      </w:pPr>
      <w:r>
        <w:rPr>
          <w:spacing w:val="-6"/>
          <w:sz w:val="24"/>
          <w:szCs w:val="24"/>
        </w:rPr>
        <w:t>注： 1.工程造价咨询服务费按照差额定率</w:t>
      </w:r>
      <w:r>
        <w:rPr>
          <w:spacing w:val="-7"/>
          <w:sz w:val="24"/>
          <w:szCs w:val="24"/>
        </w:rPr>
        <w:t>分档累进方法计算。</w:t>
      </w:r>
    </w:p>
    <w:p>
      <w:pPr>
        <w:pStyle w:val="10"/>
        <w:spacing w:before="174" w:line="218" w:lineRule="auto"/>
        <w:ind w:left="489"/>
        <w:rPr>
          <w:sz w:val="24"/>
          <w:szCs w:val="24"/>
        </w:rPr>
      </w:pPr>
      <w:r>
        <w:rPr>
          <w:spacing w:val="-2"/>
          <w:sz w:val="24"/>
          <w:szCs w:val="24"/>
        </w:rPr>
        <w:t>2.工程造价咨询服务费分别按照不同专业计取相应的调整系数，调整系数详见附表。</w:t>
      </w:r>
    </w:p>
    <w:p>
      <w:pPr>
        <w:pStyle w:val="10"/>
        <w:spacing w:before="177" w:line="218" w:lineRule="auto"/>
        <w:ind w:left="499"/>
        <w:rPr>
          <w:sz w:val="24"/>
          <w:szCs w:val="24"/>
        </w:rPr>
      </w:pPr>
      <w:r>
        <w:rPr>
          <w:spacing w:val="-3"/>
          <w:sz w:val="24"/>
          <w:szCs w:val="24"/>
        </w:rPr>
        <w:t>3.计费基数的工程造价均应包含甲供材料费和工程设备费。</w:t>
      </w:r>
    </w:p>
    <w:p>
      <w:pPr>
        <w:pStyle w:val="10"/>
        <w:spacing w:before="176" w:line="220" w:lineRule="auto"/>
        <w:ind w:left="488"/>
        <w:rPr>
          <w:sz w:val="24"/>
          <w:szCs w:val="24"/>
        </w:rPr>
      </w:pPr>
      <w:r>
        <w:rPr>
          <w:spacing w:val="-2"/>
          <w:sz w:val="24"/>
          <w:szCs w:val="24"/>
        </w:rPr>
        <w:t>4.概算金额包含工程费用、工程建设其他费用（不含建设用地费用）、预备费和专项费用。</w:t>
      </w:r>
    </w:p>
    <w:p>
      <w:pPr>
        <w:pStyle w:val="10"/>
        <w:spacing w:before="173" w:line="219" w:lineRule="auto"/>
        <w:ind w:left="492"/>
        <w:rPr>
          <w:sz w:val="24"/>
          <w:szCs w:val="24"/>
        </w:rPr>
      </w:pPr>
      <w:r>
        <w:rPr>
          <w:spacing w:val="-2"/>
          <w:sz w:val="24"/>
          <w:szCs w:val="24"/>
        </w:rPr>
        <w:t>5.模拟清单不包括施工图预算，需要施工图预算的应另行增加相应服务费用。</w:t>
      </w:r>
    </w:p>
    <w:p>
      <w:pPr>
        <w:pStyle w:val="10"/>
        <w:spacing w:before="176" w:line="219" w:lineRule="auto"/>
        <w:ind w:left="491"/>
        <w:rPr>
          <w:sz w:val="24"/>
          <w:szCs w:val="24"/>
        </w:rPr>
      </w:pPr>
      <w:r>
        <w:rPr>
          <w:spacing w:val="-2"/>
          <w:sz w:val="24"/>
          <w:szCs w:val="24"/>
        </w:rPr>
        <w:t>6.凡需要对钢筋工程量精细计算或审核的，其</w:t>
      </w:r>
      <w:r>
        <w:rPr>
          <w:spacing w:val="-3"/>
          <w:sz w:val="24"/>
          <w:szCs w:val="24"/>
        </w:rPr>
        <w:t>服务费用另行计算。</w:t>
      </w:r>
    </w:p>
    <w:p>
      <w:pPr>
        <w:pStyle w:val="10"/>
        <w:spacing w:before="177" w:line="458" w:lineRule="exact"/>
        <w:ind w:left="0" w:leftChars="0" w:right="41" w:firstLine="480" w:firstLineChars="200"/>
        <w:jc w:val="both"/>
        <w:rPr>
          <w:sz w:val="24"/>
          <w:szCs w:val="24"/>
        </w:rPr>
      </w:pPr>
      <w:r>
        <w:rPr>
          <w:position w:val="16"/>
          <w:sz w:val="24"/>
          <w:szCs w:val="24"/>
        </w:rPr>
        <w:t>7.编制或审核最高投标限价（招标控制价）时，仅编制或审核工程量清单的</w:t>
      </w:r>
      <w:r>
        <w:rPr>
          <w:spacing w:val="-1"/>
          <w:position w:val="16"/>
          <w:sz w:val="24"/>
          <w:szCs w:val="24"/>
        </w:rPr>
        <w:t>，按工程量清单及其最高投标限价（招标控制价）</w:t>
      </w:r>
    </w:p>
    <w:p>
      <w:pPr>
        <w:pStyle w:val="10"/>
        <w:spacing w:line="218" w:lineRule="auto"/>
        <w:rPr>
          <w:sz w:val="24"/>
          <w:szCs w:val="24"/>
        </w:rPr>
      </w:pPr>
      <w:r>
        <w:rPr>
          <w:spacing w:val="-4"/>
          <w:sz w:val="24"/>
          <w:szCs w:val="24"/>
        </w:rPr>
        <w:t>收费标准的</w:t>
      </w:r>
      <w:r>
        <w:rPr>
          <w:spacing w:val="-28"/>
          <w:sz w:val="24"/>
          <w:szCs w:val="24"/>
        </w:rPr>
        <w:t xml:space="preserve"> </w:t>
      </w:r>
      <w:r>
        <w:rPr>
          <w:spacing w:val="-4"/>
          <w:sz w:val="24"/>
          <w:szCs w:val="24"/>
        </w:rPr>
        <w:t>60%计算;仅编制或审核单价（造价）的，按收费标准的 50%计算。</w:t>
      </w:r>
    </w:p>
    <w:p>
      <w:pPr>
        <w:pStyle w:val="10"/>
        <w:spacing w:before="177" w:line="354" w:lineRule="auto"/>
        <w:ind w:left="1" w:right="41" w:firstLine="489"/>
        <w:rPr>
          <w:sz w:val="24"/>
          <w:szCs w:val="24"/>
        </w:rPr>
      </w:pPr>
      <w:r>
        <w:rPr>
          <w:sz w:val="24"/>
          <w:szCs w:val="24"/>
        </w:rPr>
        <w:t>8.在编制或审核模拟清单及其最高投标限价、工程量清单及其最高投标限价</w:t>
      </w:r>
      <w:r>
        <w:rPr>
          <w:spacing w:val="-1"/>
          <w:sz w:val="24"/>
          <w:szCs w:val="24"/>
        </w:rPr>
        <w:t>（招标控制价）、施工图预算过程中，因委托人引</w:t>
      </w:r>
      <w:r>
        <w:rPr>
          <w:sz w:val="24"/>
          <w:szCs w:val="24"/>
        </w:rPr>
        <w:t xml:space="preserve"> 起的编制内容或设计的变更以及其他原因导致受</w:t>
      </w:r>
      <w:r>
        <w:rPr>
          <w:spacing w:val="-1"/>
          <w:sz w:val="24"/>
          <w:szCs w:val="24"/>
        </w:rPr>
        <w:t>托人工作量增加</w:t>
      </w:r>
      <w:r>
        <w:rPr>
          <w:spacing w:val="-35"/>
          <w:sz w:val="24"/>
          <w:szCs w:val="24"/>
        </w:rPr>
        <w:t xml:space="preserve"> </w:t>
      </w:r>
      <w:r>
        <w:rPr>
          <w:spacing w:val="-1"/>
          <w:sz w:val="24"/>
          <w:szCs w:val="24"/>
        </w:rPr>
        <w:t>10%以上的，应增加相应服务费用；在编制或审核的咨询业务完成</w:t>
      </w:r>
    </w:p>
    <w:p>
      <w:pPr>
        <w:pStyle w:val="10"/>
        <w:spacing w:line="218" w:lineRule="auto"/>
        <w:ind w:left="2"/>
        <w:rPr>
          <w:sz w:val="24"/>
          <w:szCs w:val="24"/>
        </w:rPr>
      </w:pPr>
      <w:r>
        <w:rPr>
          <w:spacing w:val="-1"/>
          <w:sz w:val="24"/>
          <w:szCs w:val="24"/>
        </w:rPr>
        <w:t>后，因委托人变更工程造价规模或重新调整工程</w:t>
      </w:r>
      <w:r>
        <w:rPr>
          <w:spacing w:val="-2"/>
          <w:sz w:val="24"/>
          <w:szCs w:val="24"/>
        </w:rPr>
        <w:t>造价导致受托人已完工作量减少</w:t>
      </w:r>
      <w:r>
        <w:rPr>
          <w:spacing w:val="-35"/>
          <w:sz w:val="24"/>
          <w:szCs w:val="24"/>
        </w:rPr>
        <w:t xml:space="preserve"> </w:t>
      </w:r>
      <w:r>
        <w:rPr>
          <w:spacing w:val="-2"/>
          <w:sz w:val="24"/>
          <w:szCs w:val="24"/>
        </w:rPr>
        <w:t>10%以上的，应补偿相应服务费用。</w:t>
      </w:r>
    </w:p>
    <w:p>
      <w:pPr>
        <w:pStyle w:val="10"/>
        <w:spacing w:before="177" w:line="218" w:lineRule="auto"/>
        <w:ind w:left="491"/>
        <w:rPr>
          <w:sz w:val="24"/>
          <w:szCs w:val="24"/>
        </w:rPr>
      </w:pPr>
      <w:r>
        <w:rPr>
          <w:spacing w:val="-1"/>
          <w:sz w:val="24"/>
          <w:szCs w:val="24"/>
        </w:rPr>
        <w:t>9.编制或审核施工图预算时，发生核对情形的，按照编制或审核工程量清单及其最高投标</w:t>
      </w:r>
      <w:r>
        <w:rPr>
          <w:spacing w:val="-2"/>
          <w:sz w:val="24"/>
          <w:szCs w:val="24"/>
        </w:rPr>
        <w:t>限价（招标控制价）的费用计算。</w:t>
      </w:r>
    </w:p>
    <w:p>
      <w:pPr>
        <w:pStyle w:val="10"/>
        <w:spacing w:before="177" w:line="219" w:lineRule="auto"/>
        <w:ind w:left="495"/>
        <w:rPr>
          <w:sz w:val="24"/>
          <w:szCs w:val="24"/>
        </w:rPr>
      </w:pPr>
      <w:r>
        <w:rPr>
          <w:spacing w:val="-3"/>
          <w:sz w:val="24"/>
          <w:szCs w:val="24"/>
        </w:rPr>
        <w:t>10.采用过程结算的咨询费用，按工程结算相应费用乘</w:t>
      </w:r>
      <w:r>
        <w:rPr>
          <w:spacing w:val="-36"/>
          <w:sz w:val="24"/>
          <w:szCs w:val="24"/>
        </w:rPr>
        <w:t xml:space="preserve"> </w:t>
      </w:r>
      <w:r>
        <w:rPr>
          <w:spacing w:val="-3"/>
          <w:sz w:val="24"/>
          <w:szCs w:val="24"/>
        </w:rPr>
        <w:t>1.05</w:t>
      </w:r>
      <w:r>
        <w:rPr>
          <w:spacing w:val="-39"/>
          <w:sz w:val="24"/>
          <w:szCs w:val="24"/>
        </w:rPr>
        <w:t xml:space="preserve"> </w:t>
      </w:r>
      <w:r>
        <w:rPr>
          <w:spacing w:val="-3"/>
          <w:sz w:val="24"/>
          <w:szCs w:val="24"/>
        </w:rPr>
        <w:t>系数</w:t>
      </w:r>
      <w:r>
        <w:rPr>
          <w:spacing w:val="-4"/>
          <w:sz w:val="24"/>
          <w:szCs w:val="24"/>
        </w:rPr>
        <w:t>计算。</w:t>
      </w:r>
    </w:p>
    <w:p>
      <w:pPr>
        <w:pStyle w:val="10"/>
        <w:spacing w:before="174" w:line="461" w:lineRule="exact"/>
        <w:ind w:left="0" w:leftChars="0" w:right="20" w:firstLine="478" w:firstLineChars="201"/>
        <w:jc w:val="both"/>
        <w:rPr>
          <w:sz w:val="24"/>
          <w:szCs w:val="24"/>
        </w:rPr>
      </w:pPr>
      <w:r>
        <w:rPr>
          <w:spacing w:val="-1"/>
          <w:position w:val="16"/>
          <w:sz w:val="24"/>
          <w:szCs w:val="24"/>
        </w:rPr>
        <w:t>11.全过程造价咨询费用包括基本费和驻场人员增加费</w:t>
      </w:r>
      <w:r>
        <w:rPr>
          <w:spacing w:val="-2"/>
          <w:position w:val="16"/>
          <w:sz w:val="24"/>
          <w:szCs w:val="24"/>
        </w:rPr>
        <w:t>。若设计变更造价正负绝对值之和小于等于总造价的</w:t>
      </w:r>
      <w:r>
        <w:rPr>
          <w:spacing w:val="-34"/>
          <w:position w:val="16"/>
          <w:sz w:val="24"/>
          <w:szCs w:val="24"/>
        </w:rPr>
        <w:t xml:space="preserve"> </w:t>
      </w:r>
      <w:r>
        <w:rPr>
          <w:spacing w:val="-2"/>
          <w:position w:val="16"/>
          <w:sz w:val="24"/>
          <w:szCs w:val="24"/>
        </w:rPr>
        <w:t>10%，不另行计取费</w:t>
      </w:r>
    </w:p>
    <w:p>
      <w:pPr>
        <w:pStyle w:val="10"/>
        <w:spacing w:line="218" w:lineRule="auto"/>
        <w:rPr>
          <w:sz w:val="24"/>
          <w:szCs w:val="24"/>
        </w:rPr>
      </w:pPr>
      <w:r>
        <w:rPr>
          <w:spacing w:val="-2"/>
          <w:sz w:val="24"/>
          <w:szCs w:val="24"/>
        </w:rPr>
        <w:t>用;若设计变更造价正负绝对值之和大于总造价的</w:t>
      </w:r>
      <w:r>
        <w:rPr>
          <w:spacing w:val="-32"/>
          <w:sz w:val="24"/>
          <w:szCs w:val="24"/>
        </w:rPr>
        <w:t xml:space="preserve"> </w:t>
      </w:r>
      <w:r>
        <w:rPr>
          <w:spacing w:val="-2"/>
          <w:sz w:val="24"/>
          <w:szCs w:val="24"/>
        </w:rPr>
        <w:t>10%，超过</w:t>
      </w:r>
      <w:r>
        <w:rPr>
          <w:spacing w:val="-29"/>
          <w:sz w:val="24"/>
          <w:szCs w:val="24"/>
        </w:rPr>
        <w:t xml:space="preserve"> </w:t>
      </w:r>
      <w:r>
        <w:rPr>
          <w:spacing w:val="-2"/>
          <w:sz w:val="24"/>
          <w:szCs w:val="24"/>
        </w:rPr>
        <w:t>10%以上部分另行计取费用（费率参照施工图预算编制或审核）。</w:t>
      </w:r>
    </w:p>
    <w:p>
      <w:pPr>
        <w:pStyle w:val="10"/>
        <w:spacing w:before="177" w:line="459" w:lineRule="exact"/>
        <w:ind w:left="0" w:leftChars="0" w:right="2" w:firstLine="477" w:firstLineChars="206"/>
        <w:jc w:val="both"/>
        <w:rPr>
          <w:sz w:val="24"/>
          <w:szCs w:val="24"/>
        </w:rPr>
      </w:pPr>
      <w:r>
        <w:rPr>
          <w:spacing w:val="-4"/>
          <w:position w:val="16"/>
          <w:sz w:val="24"/>
          <w:szCs w:val="24"/>
        </w:rPr>
        <w:t>12.施工进度款编制或审核的费用不包含施工图预算工作内容， 若在编制或审核施工进度款时需要按施工图重新计算工作量和计</w:t>
      </w:r>
    </w:p>
    <w:p>
      <w:pPr>
        <w:pStyle w:val="10"/>
        <w:spacing w:line="218" w:lineRule="auto"/>
        <w:rPr>
          <w:sz w:val="24"/>
          <w:szCs w:val="24"/>
        </w:rPr>
      </w:pPr>
      <w:r>
        <w:rPr>
          <w:spacing w:val="-3"/>
          <w:sz w:val="24"/>
          <w:szCs w:val="24"/>
        </w:rPr>
        <w:t>价，重新编制施工图预算，需增加相应服务费用。</w:t>
      </w:r>
    </w:p>
    <w:p>
      <w:pPr>
        <w:pStyle w:val="10"/>
        <w:spacing w:before="178" w:line="218" w:lineRule="auto"/>
        <w:ind w:left="495"/>
        <w:rPr>
          <w:sz w:val="24"/>
          <w:szCs w:val="24"/>
        </w:rPr>
      </w:pPr>
      <w:r>
        <w:rPr>
          <w:spacing w:val="-2"/>
          <w:sz w:val="24"/>
          <w:szCs w:val="24"/>
        </w:rPr>
        <w:t>13.单独进行工期鉴定的，参照“造价师计时咨询”收费标准，由双方</w:t>
      </w:r>
      <w:r>
        <w:rPr>
          <w:spacing w:val="-3"/>
          <w:sz w:val="24"/>
          <w:szCs w:val="24"/>
        </w:rPr>
        <w:t>约定。</w:t>
      </w:r>
    </w:p>
    <w:p>
      <w:pPr>
        <w:pStyle w:val="10"/>
        <w:spacing w:before="177" w:line="218" w:lineRule="auto"/>
        <w:ind w:left="495"/>
        <w:rPr>
          <w:sz w:val="24"/>
          <w:szCs w:val="24"/>
        </w:rPr>
        <w:sectPr>
          <w:footerReference r:id="rId9" w:type="default"/>
          <w:pgSz w:w="16839" w:h="11907"/>
          <w:pgMar w:top="1440" w:right="1080" w:bottom="1440" w:left="1080" w:header="0" w:footer="718" w:gutter="0"/>
          <w:pgNumType w:fmt="decimal"/>
          <w:cols w:space="720" w:num="1"/>
        </w:sectPr>
      </w:pPr>
      <w:r>
        <w:rPr>
          <w:spacing w:val="-2"/>
          <w:sz w:val="24"/>
          <w:szCs w:val="24"/>
        </w:rPr>
        <w:t>14.工程造价鉴定费不含出庭质证、现场勘验及差旅费用，如有发生时另行计算。</w:t>
      </w:r>
    </w:p>
    <w:p>
      <w:pPr>
        <w:pStyle w:val="10"/>
        <w:spacing w:before="78" w:line="218" w:lineRule="auto"/>
        <w:rPr>
          <w:sz w:val="24"/>
          <w:szCs w:val="24"/>
        </w:rPr>
      </w:pPr>
      <w:r>
        <w:rPr>
          <w:spacing w:val="-3"/>
          <w:sz w:val="24"/>
          <w:szCs w:val="24"/>
        </w:rPr>
        <w:t>15.单独委托对材料、设备进行市场询价的，另行计算服务费用。</w:t>
      </w:r>
    </w:p>
    <w:p>
      <w:pPr>
        <w:pStyle w:val="10"/>
        <w:spacing w:before="174" w:line="461" w:lineRule="exact"/>
        <w:jc w:val="both"/>
        <w:rPr>
          <w:sz w:val="24"/>
          <w:szCs w:val="24"/>
        </w:rPr>
      </w:pPr>
      <w:r>
        <w:rPr>
          <w:spacing w:val="-7"/>
          <w:position w:val="16"/>
          <w:sz w:val="24"/>
          <w:szCs w:val="24"/>
        </w:rPr>
        <w:t>16.仅对设计费、监理费、勘察（设计） 费、招标代理费、造价咨询费等费用进行审核的，</w:t>
      </w:r>
      <w:r>
        <w:rPr>
          <w:spacing w:val="58"/>
          <w:position w:val="16"/>
          <w:sz w:val="24"/>
          <w:szCs w:val="24"/>
        </w:rPr>
        <w:t xml:space="preserve"> </w:t>
      </w:r>
      <w:r>
        <w:rPr>
          <w:spacing w:val="-7"/>
          <w:position w:val="16"/>
          <w:sz w:val="24"/>
          <w:szCs w:val="24"/>
        </w:rPr>
        <w:t>其服务收费按工程结算审核收费标准</w:t>
      </w:r>
    </w:p>
    <w:p>
      <w:pPr>
        <w:pStyle w:val="10"/>
        <w:spacing w:line="219" w:lineRule="auto"/>
        <w:ind w:left="21"/>
        <w:rPr>
          <w:sz w:val="24"/>
          <w:szCs w:val="24"/>
        </w:rPr>
      </w:pPr>
      <w:r>
        <w:rPr>
          <w:spacing w:val="-13"/>
          <w:sz w:val="24"/>
          <w:szCs w:val="24"/>
        </w:rPr>
        <w:t>的</w:t>
      </w:r>
      <w:r>
        <w:rPr>
          <w:spacing w:val="-33"/>
          <w:sz w:val="24"/>
          <w:szCs w:val="24"/>
        </w:rPr>
        <w:t xml:space="preserve"> </w:t>
      </w:r>
      <w:r>
        <w:rPr>
          <w:spacing w:val="-13"/>
          <w:sz w:val="24"/>
          <w:szCs w:val="24"/>
        </w:rPr>
        <w:t>50%计算。</w:t>
      </w:r>
    </w:p>
    <w:p>
      <w:pPr>
        <w:pStyle w:val="10"/>
        <w:spacing w:before="174" w:line="220" w:lineRule="auto"/>
        <w:rPr>
          <w:sz w:val="24"/>
          <w:szCs w:val="24"/>
        </w:rPr>
      </w:pPr>
      <w:r>
        <w:rPr>
          <w:spacing w:val="-2"/>
          <w:sz w:val="24"/>
          <w:szCs w:val="24"/>
        </w:rPr>
        <w:t>17.非受托方原因造成委托咨询项目中止的，委托方应按合同约定支付已完工作量的咨询服务费用。</w:t>
      </w:r>
    </w:p>
    <w:p>
      <w:pPr>
        <w:pStyle w:val="10"/>
        <w:spacing w:before="172" w:line="220" w:lineRule="auto"/>
        <w:rPr>
          <w:sz w:val="24"/>
          <w:szCs w:val="24"/>
        </w:rPr>
      </w:pPr>
      <w:r>
        <w:rPr>
          <w:spacing w:val="-6"/>
          <w:sz w:val="24"/>
          <w:szCs w:val="24"/>
        </w:rPr>
        <w:t>18.咨询服务收费低于</w:t>
      </w:r>
      <w:r>
        <w:rPr>
          <w:spacing w:val="-20"/>
          <w:sz w:val="24"/>
          <w:szCs w:val="24"/>
        </w:rPr>
        <w:t xml:space="preserve"> </w:t>
      </w:r>
      <w:r>
        <w:rPr>
          <w:spacing w:val="-6"/>
          <w:sz w:val="24"/>
          <w:szCs w:val="24"/>
        </w:rPr>
        <w:t>3000</w:t>
      </w:r>
      <w:r>
        <w:rPr>
          <w:spacing w:val="-42"/>
          <w:sz w:val="24"/>
          <w:szCs w:val="24"/>
        </w:rPr>
        <w:t xml:space="preserve"> </w:t>
      </w:r>
      <w:r>
        <w:rPr>
          <w:spacing w:val="-6"/>
          <w:sz w:val="24"/>
          <w:szCs w:val="24"/>
        </w:rPr>
        <w:t>元的，按</w:t>
      </w:r>
      <w:r>
        <w:rPr>
          <w:spacing w:val="-31"/>
          <w:sz w:val="24"/>
          <w:szCs w:val="24"/>
        </w:rPr>
        <w:t xml:space="preserve"> </w:t>
      </w:r>
      <w:r>
        <w:rPr>
          <w:spacing w:val="-6"/>
          <w:sz w:val="24"/>
          <w:szCs w:val="24"/>
        </w:rPr>
        <w:t>3000</w:t>
      </w:r>
      <w:r>
        <w:rPr>
          <w:spacing w:val="-42"/>
          <w:sz w:val="24"/>
          <w:szCs w:val="24"/>
        </w:rPr>
        <w:t xml:space="preserve"> </w:t>
      </w:r>
      <w:r>
        <w:rPr>
          <w:spacing w:val="-6"/>
          <w:sz w:val="24"/>
          <w:szCs w:val="24"/>
        </w:rPr>
        <w:t>元计算。</w:t>
      </w:r>
    </w:p>
    <w:p>
      <w:pPr>
        <w:pStyle w:val="10"/>
        <w:spacing w:before="176" w:line="218" w:lineRule="auto"/>
        <w:rPr>
          <w:rFonts w:hint="eastAsia" w:eastAsia="仿宋"/>
          <w:sz w:val="24"/>
          <w:szCs w:val="24"/>
          <w:lang w:eastAsia="zh-CN"/>
        </w:rPr>
        <w:sectPr>
          <w:footerReference r:id="rId10" w:type="default"/>
          <w:pgSz w:w="16839" w:h="11907"/>
          <w:pgMar w:top="1440" w:right="1080" w:bottom="1440" w:left="1080" w:header="0" w:footer="718" w:gutter="0"/>
          <w:pgNumType w:fmt="decimal"/>
          <w:cols w:space="720" w:num="1"/>
        </w:sectPr>
      </w:pPr>
      <w:r>
        <w:rPr>
          <w:spacing w:val="-4"/>
          <w:sz w:val="24"/>
          <w:szCs w:val="24"/>
        </w:rPr>
        <w:t>19.本收费指导价不含</w:t>
      </w:r>
      <w:r>
        <w:rPr>
          <w:spacing w:val="-50"/>
          <w:sz w:val="24"/>
          <w:szCs w:val="24"/>
        </w:rPr>
        <w:t xml:space="preserve"> </w:t>
      </w:r>
      <w:r>
        <w:rPr>
          <w:spacing w:val="-4"/>
          <w:sz w:val="24"/>
          <w:szCs w:val="24"/>
        </w:rPr>
        <w:t>BIM</w:t>
      </w:r>
      <w:r>
        <w:rPr>
          <w:spacing w:val="-35"/>
          <w:sz w:val="24"/>
          <w:szCs w:val="24"/>
        </w:rPr>
        <w:t xml:space="preserve"> </w:t>
      </w:r>
      <w:r>
        <w:rPr>
          <w:spacing w:val="-4"/>
          <w:sz w:val="24"/>
          <w:szCs w:val="24"/>
        </w:rPr>
        <w:t>费用，发生时另行</w:t>
      </w:r>
      <w:r>
        <w:rPr>
          <w:spacing w:val="-5"/>
          <w:sz w:val="24"/>
          <w:szCs w:val="24"/>
        </w:rPr>
        <w:t>计算</w:t>
      </w:r>
      <w:r>
        <w:rPr>
          <w:rFonts w:hint="eastAsia"/>
          <w:spacing w:val="-5"/>
          <w:sz w:val="24"/>
          <w:szCs w:val="24"/>
          <w:lang w:eastAsia="zh-CN"/>
        </w:rPr>
        <w:t>。</w:t>
      </w:r>
    </w:p>
    <w:p>
      <w:pPr>
        <w:pStyle w:val="10"/>
        <w:spacing w:before="101" w:line="224" w:lineRule="auto"/>
        <w:ind w:left="14"/>
      </w:pPr>
      <w:r>
        <w:rPr>
          <w:spacing w:val="-23"/>
        </w:rPr>
        <w:t>附表：</w:t>
      </w:r>
    </w:p>
    <w:p>
      <w:pPr>
        <w:spacing w:before="169" w:line="182" w:lineRule="auto"/>
        <w:ind w:left="3158"/>
        <w:rPr>
          <w:rFonts w:ascii="微软雅黑" w:hAnsi="微软雅黑" w:eastAsia="微软雅黑" w:cs="微软雅黑"/>
          <w:sz w:val="36"/>
          <w:szCs w:val="36"/>
        </w:rPr>
      </w:pPr>
      <w:r>
        <w:rPr>
          <w:rFonts w:ascii="微软雅黑" w:hAnsi="微软雅黑" w:eastAsia="微软雅黑" w:cs="微软雅黑"/>
          <w:spacing w:val="-4"/>
          <w:sz w:val="36"/>
          <w:szCs w:val="36"/>
        </w:rPr>
        <w:t>专业工程系数表</w:t>
      </w:r>
    </w:p>
    <w:tbl>
      <w:tblPr>
        <w:tblStyle w:val="40"/>
        <w:tblpPr w:leftFromText="180" w:rightFromText="180" w:vertAnchor="text" w:horzAnchor="page" w:tblpX="1615" w:tblpY="228"/>
        <w:tblOverlap w:val="never"/>
        <w:tblW w:w="8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5364"/>
        <w:gridCol w:w="2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2" w:type="dxa"/>
            <w:noWrap w:val="0"/>
            <w:vAlign w:val="top"/>
          </w:tcPr>
          <w:p>
            <w:pPr>
              <w:spacing w:before="179" w:line="221" w:lineRule="auto"/>
              <w:ind w:left="140"/>
              <w:rPr>
                <w:rFonts w:ascii="新宋体" w:hAnsi="新宋体" w:eastAsia="新宋体" w:cs="新宋体"/>
                <w:sz w:val="28"/>
                <w:szCs w:val="28"/>
              </w:rPr>
            </w:pPr>
            <w:r>
              <w:rPr>
                <w:rFonts w:ascii="新宋体" w:hAnsi="新宋体" w:eastAsia="新宋体" w:cs="新宋体"/>
                <w:spacing w:val="-3"/>
                <w:sz w:val="28"/>
                <w:szCs w:val="28"/>
              </w:rPr>
              <w:t>序号</w:t>
            </w:r>
          </w:p>
        </w:tc>
        <w:tc>
          <w:tcPr>
            <w:tcW w:w="5364" w:type="dxa"/>
            <w:noWrap w:val="0"/>
            <w:vAlign w:val="top"/>
          </w:tcPr>
          <w:p>
            <w:pPr>
              <w:spacing w:before="178" w:line="220" w:lineRule="auto"/>
              <w:ind w:left="2143"/>
              <w:rPr>
                <w:rFonts w:ascii="新宋体" w:hAnsi="新宋体" w:eastAsia="新宋体" w:cs="新宋体"/>
                <w:sz w:val="28"/>
                <w:szCs w:val="28"/>
              </w:rPr>
            </w:pPr>
            <w:r>
              <w:rPr>
                <w:rFonts w:ascii="新宋体" w:hAnsi="新宋体" w:eastAsia="新宋体" w:cs="新宋体"/>
                <w:spacing w:val="-6"/>
                <w:sz w:val="28"/>
                <w:szCs w:val="28"/>
              </w:rPr>
              <w:t>工程类别</w:t>
            </w:r>
          </w:p>
        </w:tc>
        <w:tc>
          <w:tcPr>
            <w:tcW w:w="2553" w:type="dxa"/>
            <w:noWrap w:val="0"/>
            <w:vAlign w:val="top"/>
          </w:tcPr>
          <w:p>
            <w:pPr>
              <w:spacing w:before="178" w:line="220" w:lineRule="auto"/>
              <w:ind w:left="1019"/>
              <w:rPr>
                <w:rFonts w:ascii="新宋体" w:hAnsi="新宋体" w:eastAsia="新宋体" w:cs="新宋体"/>
                <w:sz w:val="28"/>
                <w:szCs w:val="28"/>
              </w:rPr>
            </w:pPr>
            <w:r>
              <w:rPr>
                <w:rFonts w:ascii="新宋体" w:hAnsi="新宋体" w:eastAsia="新宋体" w:cs="新宋体"/>
                <w:spacing w:val="-7"/>
                <w:sz w:val="28"/>
                <w:szCs w:val="28"/>
              </w:rPr>
              <w:t>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noWrap w:val="0"/>
            <w:vAlign w:val="top"/>
          </w:tcPr>
          <w:p>
            <w:pPr>
              <w:pStyle w:val="41"/>
              <w:spacing w:before="220" w:line="182" w:lineRule="auto"/>
              <w:ind w:left="369"/>
            </w:pPr>
            <w:r>
              <w:t>1</w:t>
            </w:r>
          </w:p>
        </w:tc>
        <w:tc>
          <w:tcPr>
            <w:tcW w:w="5364" w:type="dxa"/>
            <w:noWrap w:val="0"/>
            <w:vAlign w:val="top"/>
          </w:tcPr>
          <w:p>
            <w:pPr>
              <w:spacing w:before="173" w:line="221" w:lineRule="auto"/>
              <w:ind w:left="1314"/>
              <w:rPr>
                <w:rFonts w:ascii="新宋体" w:hAnsi="新宋体" w:eastAsia="新宋体" w:cs="新宋体"/>
                <w:sz w:val="28"/>
                <w:szCs w:val="28"/>
              </w:rPr>
            </w:pPr>
            <w:r>
              <w:rPr>
                <w:rFonts w:ascii="新宋体" w:hAnsi="新宋体" w:eastAsia="新宋体" w:cs="新宋体"/>
                <w:spacing w:val="-5"/>
                <w:sz w:val="28"/>
                <w:szCs w:val="28"/>
              </w:rPr>
              <w:t>房屋建筑、装配式工程</w:t>
            </w:r>
          </w:p>
        </w:tc>
        <w:tc>
          <w:tcPr>
            <w:tcW w:w="2553" w:type="dxa"/>
            <w:noWrap w:val="0"/>
            <w:vAlign w:val="top"/>
          </w:tcPr>
          <w:p>
            <w:pPr>
              <w:pStyle w:val="41"/>
              <w:spacing w:before="220" w:line="182" w:lineRule="auto"/>
              <w:ind w:left="1096"/>
            </w:pPr>
            <w:r>
              <w:rPr>
                <w:spacing w:val="-1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2" w:type="dxa"/>
            <w:noWrap w:val="0"/>
            <w:vAlign w:val="top"/>
          </w:tcPr>
          <w:p>
            <w:pPr>
              <w:pStyle w:val="41"/>
              <w:spacing w:before="221" w:line="182" w:lineRule="auto"/>
              <w:ind w:left="352"/>
            </w:pPr>
            <w:r>
              <w:t>2</w:t>
            </w:r>
          </w:p>
        </w:tc>
        <w:tc>
          <w:tcPr>
            <w:tcW w:w="5364" w:type="dxa"/>
            <w:noWrap w:val="0"/>
            <w:vAlign w:val="top"/>
          </w:tcPr>
          <w:p>
            <w:pPr>
              <w:spacing w:before="174" w:line="221" w:lineRule="auto"/>
              <w:ind w:left="1452"/>
              <w:rPr>
                <w:rFonts w:ascii="新宋体" w:hAnsi="新宋体" w:eastAsia="新宋体" w:cs="新宋体"/>
                <w:sz w:val="28"/>
                <w:szCs w:val="28"/>
              </w:rPr>
            </w:pPr>
            <w:r>
              <w:rPr>
                <w:rFonts w:ascii="新宋体" w:hAnsi="新宋体" w:eastAsia="新宋体" w:cs="新宋体"/>
                <w:spacing w:val="-5"/>
                <w:sz w:val="28"/>
                <w:szCs w:val="28"/>
              </w:rPr>
              <w:t>单独发包的装饰工程</w:t>
            </w:r>
          </w:p>
        </w:tc>
        <w:tc>
          <w:tcPr>
            <w:tcW w:w="2553" w:type="dxa"/>
            <w:noWrap w:val="0"/>
            <w:vAlign w:val="top"/>
          </w:tcPr>
          <w:p>
            <w:pPr>
              <w:pStyle w:val="41"/>
              <w:spacing w:before="221" w:line="182" w:lineRule="auto"/>
              <w:ind w:left="1096"/>
            </w:pPr>
            <w:r>
              <w:rPr>
                <w:spacing w:val="-1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noWrap w:val="0"/>
            <w:vAlign w:val="top"/>
          </w:tcPr>
          <w:p>
            <w:pPr>
              <w:pStyle w:val="41"/>
              <w:spacing w:before="219" w:line="182" w:lineRule="auto"/>
              <w:ind w:left="354"/>
            </w:pPr>
            <w:r>
              <w:t>3</w:t>
            </w:r>
          </w:p>
        </w:tc>
        <w:tc>
          <w:tcPr>
            <w:tcW w:w="5364" w:type="dxa"/>
            <w:noWrap w:val="0"/>
            <w:vAlign w:val="top"/>
          </w:tcPr>
          <w:p>
            <w:pPr>
              <w:spacing w:before="172" w:line="221" w:lineRule="auto"/>
              <w:ind w:left="1452"/>
              <w:rPr>
                <w:rFonts w:ascii="新宋体" w:hAnsi="新宋体" w:eastAsia="新宋体" w:cs="新宋体"/>
                <w:sz w:val="28"/>
                <w:szCs w:val="28"/>
              </w:rPr>
            </w:pPr>
            <w:r>
              <w:rPr>
                <w:rFonts w:ascii="新宋体" w:hAnsi="新宋体" w:eastAsia="新宋体" w:cs="新宋体"/>
                <w:spacing w:val="-5"/>
                <w:sz w:val="28"/>
                <w:szCs w:val="28"/>
              </w:rPr>
              <w:t>单独发包的安装工程</w:t>
            </w:r>
          </w:p>
        </w:tc>
        <w:tc>
          <w:tcPr>
            <w:tcW w:w="2553" w:type="dxa"/>
            <w:noWrap w:val="0"/>
            <w:vAlign w:val="top"/>
          </w:tcPr>
          <w:p>
            <w:pPr>
              <w:pStyle w:val="41"/>
              <w:spacing w:before="219" w:line="182" w:lineRule="auto"/>
              <w:ind w:left="1079"/>
            </w:pPr>
            <w:r>
              <w:rPr>
                <w:spacing w:val="-5"/>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noWrap w:val="0"/>
            <w:vAlign w:val="top"/>
          </w:tcPr>
          <w:p>
            <w:pPr>
              <w:pStyle w:val="41"/>
              <w:spacing w:before="220" w:line="182" w:lineRule="auto"/>
              <w:ind w:left="348"/>
            </w:pPr>
            <w:r>
              <w:t>4</w:t>
            </w:r>
          </w:p>
        </w:tc>
        <w:tc>
          <w:tcPr>
            <w:tcW w:w="5364" w:type="dxa"/>
            <w:noWrap w:val="0"/>
            <w:vAlign w:val="top"/>
          </w:tcPr>
          <w:p>
            <w:pPr>
              <w:spacing w:before="173" w:line="220" w:lineRule="auto"/>
              <w:ind w:left="1471"/>
              <w:rPr>
                <w:rFonts w:ascii="新宋体" w:hAnsi="新宋体" w:eastAsia="新宋体" w:cs="新宋体"/>
                <w:sz w:val="28"/>
                <w:szCs w:val="28"/>
              </w:rPr>
            </w:pPr>
            <w:r>
              <w:rPr>
                <w:rFonts w:ascii="新宋体" w:hAnsi="新宋体" w:eastAsia="新宋体" w:cs="新宋体"/>
                <w:spacing w:val="-7"/>
                <w:sz w:val="28"/>
                <w:szCs w:val="28"/>
              </w:rPr>
              <w:t>园林绿化、景观工程</w:t>
            </w:r>
          </w:p>
        </w:tc>
        <w:tc>
          <w:tcPr>
            <w:tcW w:w="2553" w:type="dxa"/>
            <w:noWrap w:val="0"/>
            <w:vAlign w:val="top"/>
          </w:tcPr>
          <w:p>
            <w:pPr>
              <w:pStyle w:val="41"/>
              <w:spacing w:before="220" w:line="182" w:lineRule="auto"/>
              <w:ind w:left="1096"/>
            </w:pPr>
            <w:r>
              <w:rPr>
                <w:spacing w:val="-1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noWrap w:val="0"/>
            <w:vAlign w:val="top"/>
          </w:tcPr>
          <w:p>
            <w:pPr>
              <w:pStyle w:val="41"/>
              <w:spacing w:before="226" w:line="180" w:lineRule="auto"/>
              <w:ind w:left="354"/>
            </w:pPr>
            <w:r>
              <w:t>5</w:t>
            </w:r>
          </w:p>
        </w:tc>
        <w:tc>
          <w:tcPr>
            <w:tcW w:w="5364" w:type="dxa"/>
            <w:noWrap w:val="0"/>
            <w:vAlign w:val="top"/>
          </w:tcPr>
          <w:p>
            <w:pPr>
              <w:spacing w:before="176" w:line="220" w:lineRule="auto"/>
              <w:ind w:left="1453"/>
              <w:rPr>
                <w:rFonts w:ascii="新宋体" w:hAnsi="新宋体" w:eastAsia="新宋体" w:cs="新宋体"/>
                <w:sz w:val="28"/>
                <w:szCs w:val="28"/>
              </w:rPr>
            </w:pPr>
            <w:r>
              <w:rPr>
                <w:rFonts w:ascii="新宋体" w:hAnsi="新宋体" w:eastAsia="新宋体" w:cs="新宋体"/>
                <w:spacing w:val="-6"/>
                <w:sz w:val="28"/>
                <w:szCs w:val="28"/>
              </w:rPr>
              <w:t>古建筑保护修复工程</w:t>
            </w:r>
          </w:p>
        </w:tc>
        <w:tc>
          <w:tcPr>
            <w:tcW w:w="2553" w:type="dxa"/>
            <w:noWrap w:val="0"/>
            <w:vAlign w:val="top"/>
          </w:tcPr>
          <w:p>
            <w:pPr>
              <w:pStyle w:val="41"/>
              <w:spacing w:before="223" w:line="182" w:lineRule="auto"/>
              <w:ind w:left="1081"/>
            </w:pPr>
            <w:r>
              <w:rPr>
                <w:spacing w:val="-6"/>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noWrap w:val="0"/>
            <w:vAlign w:val="top"/>
          </w:tcPr>
          <w:p>
            <w:pPr>
              <w:pStyle w:val="41"/>
              <w:spacing w:before="223" w:line="182" w:lineRule="auto"/>
              <w:ind w:left="351"/>
            </w:pPr>
            <w:r>
              <w:t>6</w:t>
            </w:r>
          </w:p>
        </w:tc>
        <w:tc>
          <w:tcPr>
            <w:tcW w:w="5364" w:type="dxa"/>
            <w:noWrap w:val="0"/>
            <w:vAlign w:val="top"/>
          </w:tcPr>
          <w:p>
            <w:pPr>
              <w:spacing w:before="177" w:line="220" w:lineRule="auto"/>
              <w:ind w:left="1173"/>
              <w:rPr>
                <w:rFonts w:ascii="新宋体" w:hAnsi="新宋体" w:eastAsia="新宋体" w:cs="新宋体"/>
                <w:sz w:val="28"/>
                <w:szCs w:val="28"/>
              </w:rPr>
            </w:pPr>
            <w:r>
              <w:rPr>
                <w:rFonts w:ascii="新宋体" w:hAnsi="新宋体" w:eastAsia="新宋体" w:cs="新宋体"/>
                <w:spacing w:val="-5"/>
                <w:sz w:val="28"/>
                <w:szCs w:val="28"/>
              </w:rPr>
              <w:t>仿古建筑、抗震加固工程</w:t>
            </w:r>
          </w:p>
        </w:tc>
        <w:tc>
          <w:tcPr>
            <w:tcW w:w="2553" w:type="dxa"/>
            <w:noWrap w:val="0"/>
            <w:vAlign w:val="top"/>
          </w:tcPr>
          <w:p>
            <w:pPr>
              <w:pStyle w:val="41"/>
              <w:spacing w:before="223" w:line="182" w:lineRule="auto"/>
              <w:ind w:left="1079"/>
            </w:pPr>
            <w:r>
              <w:rPr>
                <w:spacing w:val="-5"/>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2" w:type="dxa"/>
            <w:noWrap w:val="0"/>
            <w:vAlign w:val="top"/>
          </w:tcPr>
          <w:p>
            <w:pPr>
              <w:pStyle w:val="41"/>
              <w:spacing w:before="227" w:line="180" w:lineRule="auto"/>
              <w:ind w:left="355"/>
            </w:pPr>
            <w:r>
              <w:t>7</w:t>
            </w:r>
          </w:p>
        </w:tc>
        <w:tc>
          <w:tcPr>
            <w:tcW w:w="5364" w:type="dxa"/>
            <w:noWrap w:val="0"/>
            <w:vAlign w:val="top"/>
          </w:tcPr>
          <w:p>
            <w:pPr>
              <w:spacing w:before="177" w:line="220" w:lineRule="auto"/>
              <w:ind w:left="478"/>
              <w:rPr>
                <w:rFonts w:ascii="新宋体" w:hAnsi="新宋体" w:eastAsia="新宋体" w:cs="新宋体"/>
                <w:sz w:val="28"/>
                <w:szCs w:val="28"/>
              </w:rPr>
            </w:pPr>
            <w:r>
              <w:rPr>
                <w:rFonts w:ascii="新宋体" w:hAnsi="新宋体" w:eastAsia="新宋体" w:cs="新宋体"/>
                <w:spacing w:val="-5"/>
                <w:sz w:val="28"/>
                <w:szCs w:val="28"/>
              </w:rPr>
              <w:t>公路、市政（不含桥梁、隧道）工程</w:t>
            </w:r>
          </w:p>
        </w:tc>
        <w:tc>
          <w:tcPr>
            <w:tcW w:w="2553" w:type="dxa"/>
            <w:noWrap w:val="0"/>
            <w:vAlign w:val="top"/>
          </w:tcPr>
          <w:p>
            <w:pPr>
              <w:pStyle w:val="41"/>
              <w:spacing w:before="224" w:line="182" w:lineRule="auto"/>
              <w:ind w:left="1078"/>
            </w:pPr>
            <w:r>
              <w:rPr>
                <w:spacing w:val="-5"/>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2" w:type="dxa"/>
            <w:noWrap w:val="0"/>
            <w:vAlign w:val="top"/>
          </w:tcPr>
          <w:p>
            <w:pPr>
              <w:pStyle w:val="41"/>
              <w:spacing w:before="223" w:line="182" w:lineRule="auto"/>
              <w:ind w:left="350"/>
            </w:pPr>
            <w:r>
              <w:t>8</w:t>
            </w:r>
          </w:p>
        </w:tc>
        <w:tc>
          <w:tcPr>
            <w:tcW w:w="5364" w:type="dxa"/>
            <w:noWrap w:val="0"/>
            <w:vAlign w:val="top"/>
          </w:tcPr>
          <w:p>
            <w:pPr>
              <w:spacing w:before="177" w:line="220" w:lineRule="auto"/>
              <w:ind w:left="889"/>
              <w:rPr>
                <w:rFonts w:ascii="新宋体" w:hAnsi="新宋体" w:eastAsia="新宋体" w:cs="新宋体"/>
                <w:sz w:val="28"/>
                <w:szCs w:val="28"/>
              </w:rPr>
            </w:pPr>
            <w:r>
              <w:rPr>
                <w:rFonts w:ascii="新宋体" w:hAnsi="新宋体" w:eastAsia="新宋体" w:cs="新宋体"/>
                <w:spacing w:val="-4"/>
                <w:sz w:val="28"/>
                <w:szCs w:val="28"/>
              </w:rPr>
              <w:t>桥梁、隧道、水利、电力工程</w:t>
            </w:r>
          </w:p>
        </w:tc>
        <w:tc>
          <w:tcPr>
            <w:tcW w:w="2553" w:type="dxa"/>
            <w:noWrap w:val="0"/>
            <w:vAlign w:val="top"/>
          </w:tcPr>
          <w:p>
            <w:pPr>
              <w:pStyle w:val="41"/>
              <w:spacing w:before="223" w:line="182" w:lineRule="auto"/>
              <w:ind w:left="1078"/>
            </w:pPr>
            <w:r>
              <w:rPr>
                <w:spacing w:val="-5"/>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822" w:type="dxa"/>
            <w:noWrap w:val="0"/>
            <w:vAlign w:val="top"/>
          </w:tcPr>
          <w:p>
            <w:pPr>
              <w:spacing w:line="394" w:lineRule="auto"/>
              <w:rPr>
                <w:rFonts w:ascii="Arial"/>
                <w:sz w:val="21"/>
              </w:rPr>
            </w:pPr>
          </w:p>
          <w:p>
            <w:pPr>
              <w:pStyle w:val="41"/>
              <w:spacing w:before="91" w:line="182" w:lineRule="auto"/>
              <w:ind w:left="350"/>
            </w:pPr>
            <w:r>
              <w:t>9</w:t>
            </w:r>
          </w:p>
        </w:tc>
        <w:tc>
          <w:tcPr>
            <w:tcW w:w="5364" w:type="dxa"/>
            <w:noWrap w:val="0"/>
            <w:vAlign w:val="top"/>
          </w:tcPr>
          <w:p>
            <w:pPr>
              <w:spacing w:before="153" w:line="579" w:lineRule="exact"/>
              <w:ind w:left="124"/>
              <w:rPr>
                <w:rFonts w:ascii="新宋体" w:hAnsi="新宋体" w:eastAsia="新宋体" w:cs="新宋体"/>
                <w:sz w:val="28"/>
                <w:szCs w:val="28"/>
              </w:rPr>
            </w:pPr>
            <w:r>
              <w:rPr>
                <w:rFonts w:ascii="新宋体" w:hAnsi="新宋体" w:eastAsia="新宋体" w:cs="新宋体"/>
                <w:spacing w:val="-10"/>
                <w:position w:val="22"/>
                <w:sz w:val="28"/>
                <w:szCs w:val="28"/>
              </w:rPr>
              <w:t>给水厂、污水厂、泵站、垃圾厂等项目中带</w:t>
            </w:r>
          </w:p>
          <w:p>
            <w:pPr>
              <w:spacing w:line="220" w:lineRule="auto"/>
              <w:ind w:left="2143"/>
              <w:rPr>
                <w:rFonts w:ascii="新宋体" w:hAnsi="新宋体" w:eastAsia="新宋体" w:cs="新宋体"/>
                <w:sz w:val="28"/>
                <w:szCs w:val="28"/>
              </w:rPr>
            </w:pPr>
            <w:r>
              <w:rPr>
                <w:rFonts w:ascii="新宋体" w:hAnsi="新宋体" w:eastAsia="新宋体" w:cs="新宋体"/>
                <w:spacing w:val="-6"/>
                <w:sz w:val="28"/>
                <w:szCs w:val="28"/>
              </w:rPr>
              <w:t>工艺部分</w:t>
            </w:r>
          </w:p>
        </w:tc>
        <w:tc>
          <w:tcPr>
            <w:tcW w:w="2553" w:type="dxa"/>
            <w:noWrap w:val="0"/>
            <w:vAlign w:val="top"/>
          </w:tcPr>
          <w:p>
            <w:pPr>
              <w:spacing w:line="394" w:lineRule="auto"/>
              <w:rPr>
                <w:rFonts w:ascii="Arial"/>
                <w:sz w:val="21"/>
              </w:rPr>
            </w:pPr>
          </w:p>
          <w:p>
            <w:pPr>
              <w:pStyle w:val="41"/>
              <w:spacing w:before="91" w:line="182" w:lineRule="auto"/>
              <w:ind w:left="1096"/>
            </w:pPr>
            <w:r>
              <w:rPr>
                <w:spacing w:val="-1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2" w:type="dxa"/>
            <w:noWrap w:val="0"/>
            <w:vAlign w:val="top"/>
          </w:tcPr>
          <w:p>
            <w:pPr>
              <w:pStyle w:val="41"/>
              <w:spacing w:before="224" w:line="182" w:lineRule="auto"/>
              <w:ind w:left="300"/>
            </w:pPr>
            <w:r>
              <w:rPr>
                <w:spacing w:val="-9"/>
              </w:rPr>
              <w:t>10</w:t>
            </w:r>
          </w:p>
        </w:tc>
        <w:tc>
          <w:tcPr>
            <w:tcW w:w="5364" w:type="dxa"/>
            <w:noWrap w:val="0"/>
            <w:vAlign w:val="top"/>
          </w:tcPr>
          <w:p>
            <w:pPr>
              <w:spacing w:before="178" w:line="219" w:lineRule="auto"/>
              <w:ind w:left="890"/>
              <w:rPr>
                <w:rFonts w:ascii="新宋体" w:hAnsi="新宋体" w:eastAsia="新宋体" w:cs="新宋体"/>
                <w:sz w:val="28"/>
                <w:szCs w:val="28"/>
              </w:rPr>
            </w:pPr>
            <w:r>
              <w:rPr>
                <w:rFonts w:ascii="新宋体" w:hAnsi="新宋体" w:eastAsia="新宋体" w:cs="新宋体"/>
                <w:spacing w:val="-4"/>
                <w:sz w:val="28"/>
                <w:szCs w:val="28"/>
              </w:rPr>
              <w:t>机场跑道、城市轨道交通工程</w:t>
            </w:r>
          </w:p>
        </w:tc>
        <w:tc>
          <w:tcPr>
            <w:tcW w:w="2553" w:type="dxa"/>
            <w:noWrap w:val="0"/>
            <w:vAlign w:val="top"/>
          </w:tcPr>
          <w:p>
            <w:pPr>
              <w:pStyle w:val="41"/>
              <w:spacing w:before="224" w:line="182" w:lineRule="auto"/>
              <w:ind w:left="1078"/>
            </w:pPr>
            <w:r>
              <w:rPr>
                <w:spacing w:val="-5"/>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2" w:type="dxa"/>
            <w:noWrap w:val="0"/>
            <w:vAlign w:val="top"/>
          </w:tcPr>
          <w:p>
            <w:pPr>
              <w:pStyle w:val="41"/>
              <w:spacing w:before="224" w:line="182" w:lineRule="auto"/>
              <w:ind w:left="300"/>
            </w:pPr>
            <w:r>
              <w:rPr>
                <w:spacing w:val="-9"/>
              </w:rPr>
              <w:t>11</w:t>
            </w:r>
          </w:p>
        </w:tc>
        <w:tc>
          <w:tcPr>
            <w:tcW w:w="5364" w:type="dxa"/>
            <w:noWrap w:val="0"/>
            <w:vAlign w:val="top"/>
          </w:tcPr>
          <w:p>
            <w:pPr>
              <w:spacing w:before="177" w:line="221" w:lineRule="auto"/>
              <w:ind w:left="2144"/>
              <w:rPr>
                <w:rFonts w:ascii="新宋体" w:hAnsi="新宋体" w:eastAsia="新宋体" w:cs="新宋体"/>
                <w:sz w:val="28"/>
                <w:szCs w:val="28"/>
              </w:rPr>
            </w:pPr>
            <w:r>
              <w:rPr>
                <w:rFonts w:ascii="新宋体" w:hAnsi="新宋体" w:eastAsia="新宋体" w:cs="新宋体"/>
                <w:spacing w:val="-6"/>
                <w:sz w:val="28"/>
                <w:szCs w:val="28"/>
              </w:rPr>
              <w:t>港口工程</w:t>
            </w:r>
          </w:p>
        </w:tc>
        <w:tc>
          <w:tcPr>
            <w:tcW w:w="2553" w:type="dxa"/>
            <w:noWrap w:val="0"/>
            <w:vAlign w:val="top"/>
          </w:tcPr>
          <w:p>
            <w:pPr>
              <w:pStyle w:val="41"/>
              <w:spacing w:before="224" w:line="182" w:lineRule="auto"/>
              <w:ind w:left="1078"/>
            </w:pPr>
            <w:r>
              <w:rPr>
                <w:spacing w:val="-5"/>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2" w:type="dxa"/>
            <w:noWrap w:val="0"/>
            <w:vAlign w:val="top"/>
          </w:tcPr>
          <w:p>
            <w:pPr>
              <w:pStyle w:val="41"/>
              <w:spacing w:before="221" w:line="182" w:lineRule="auto"/>
              <w:ind w:left="300"/>
            </w:pPr>
            <w:r>
              <w:rPr>
                <w:spacing w:val="-9"/>
              </w:rPr>
              <w:t>12</w:t>
            </w:r>
          </w:p>
        </w:tc>
        <w:tc>
          <w:tcPr>
            <w:tcW w:w="5364" w:type="dxa"/>
            <w:noWrap w:val="0"/>
            <w:vAlign w:val="top"/>
          </w:tcPr>
          <w:p>
            <w:pPr>
              <w:spacing w:before="174" w:line="219" w:lineRule="auto"/>
              <w:ind w:left="1457"/>
              <w:rPr>
                <w:rFonts w:ascii="新宋体" w:hAnsi="新宋体" w:eastAsia="新宋体" w:cs="新宋体"/>
                <w:sz w:val="28"/>
                <w:szCs w:val="28"/>
              </w:rPr>
            </w:pPr>
            <w:r>
              <w:rPr>
                <w:rFonts w:ascii="新宋体" w:hAnsi="新宋体" w:eastAsia="新宋体" w:cs="新宋体"/>
                <w:spacing w:val="-6"/>
                <w:sz w:val="28"/>
                <w:szCs w:val="28"/>
              </w:rPr>
              <w:t>市政维护、爆破工程</w:t>
            </w:r>
          </w:p>
        </w:tc>
        <w:tc>
          <w:tcPr>
            <w:tcW w:w="2553" w:type="dxa"/>
            <w:noWrap w:val="0"/>
            <w:vAlign w:val="top"/>
          </w:tcPr>
          <w:p>
            <w:pPr>
              <w:pStyle w:val="41"/>
              <w:spacing w:before="221" w:line="182" w:lineRule="auto"/>
              <w:ind w:left="1096"/>
            </w:pPr>
            <w:r>
              <w:rPr>
                <w:spacing w:val="-1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2" w:type="dxa"/>
            <w:noWrap w:val="0"/>
            <w:vAlign w:val="top"/>
          </w:tcPr>
          <w:p>
            <w:pPr>
              <w:pStyle w:val="41"/>
              <w:spacing w:before="222" w:line="182" w:lineRule="auto"/>
              <w:ind w:left="300"/>
            </w:pPr>
            <w:r>
              <w:rPr>
                <w:spacing w:val="-9"/>
              </w:rPr>
              <w:t>13</w:t>
            </w:r>
          </w:p>
        </w:tc>
        <w:tc>
          <w:tcPr>
            <w:tcW w:w="5364" w:type="dxa"/>
            <w:noWrap w:val="0"/>
            <w:vAlign w:val="top"/>
          </w:tcPr>
          <w:p>
            <w:pPr>
              <w:spacing w:before="175" w:line="221" w:lineRule="auto"/>
              <w:ind w:left="2136"/>
              <w:rPr>
                <w:rFonts w:ascii="新宋体" w:hAnsi="新宋体" w:eastAsia="新宋体" w:cs="新宋体"/>
                <w:sz w:val="28"/>
                <w:szCs w:val="28"/>
              </w:rPr>
            </w:pPr>
            <w:r>
              <w:rPr>
                <w:rFonts w:ascii="新宋体" w:hAnsi="新宋体" w:eastAsia="新宋体" w:cs="新宋体"/>
                <w:spacing w:val="-5"/>
                <w:sz w:val="28"/>
                <w:szCs w:val="28"/>
              </w:rPr>
              <w:t>其他工程</w:t>
            </w:r>
          </w:p>
        </w:tc>
        <w:tc>
          <w:tcPr>
            <w:tcW w:w="2553" w:type="dxa"/>
            <w:noWrap w:val="0"/>
            <w:vAlign w:val="top"/>
          </w:tcPr>
          <w:p>
            <w:pPr>
              <w:pStyle w:val="41"/>
              <w:spacing w:before="222" w:line="182" w:lineRule="auto"/>
              <w:ind w:left="1096"/>
            </w:pPr>
            <w:r>
              <w:rPr>
                <w:spacing w:val="-11"/>
              </w:rPr>
              <w:t>1.0</w:t>
            </w:r>
          </w:p>
        </w:tc>
      </w:tr>
    </w:tbl>
    <w:p>
      <w:pPr>
        <w:spacing w:line="257" w:lineRule="auto"/>
        <w:rPr>
          <w:rFonts w:ascii="Arial"/>
          <w:sz w:val="21"/>
        </w:rPr>
      </w:pPr>
    </w:p>
    <w:p>
      <w:pPr>
        <w:spacing w:line="258" w:lineRule="auto"/>
        <w:rPr>
          <w:rFonts w:ascii="Arial"/>
          <w:sz w:val="21"/>
        </w:rPr>
      </w:pPr>
    </w:p>
    <w:p>
      <w:pPr>
        <w:adjustRightInd/>
        <w:spacing w:line="360" w:lineRule="auto"/>
        <w:ind w:right="264" w:rightChars="110" w:firstLine="420" w:firstLineChars="150"/>
        <w:jc w:val="both"/>
        <w:textAlignment w:val="auto"/>
        <w:rPr>
          <w:rFonts w:hint="eastAsia" w:ascii="宋体" w:hAnsi="宋体"/>
          <w:kern w:val="2"/>
          <w:sz w:val="28"/>
          <w:szCs w:val="28"/>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rPr>
          <w:rFonts w:hint="eastAsia" w:ascii="宋体" w:hAnsi="宋体" w:eastAsia="宋体" w:cs="宋体"/>
          <w:sz w:val="52"/>
          <w:szCs w:val="52"/>
          <w:lang w:val="en-US" w:eastAsia="zh-CN"/>
        </w:rPr>
      </w:pPr>
      <w:bookmarkStart w:id="651" w:name="_Toc15768"/>
      <w:r>
        <w:rPr>
          <w:rFonts w:hint="eastAsia" w:ascii="宋体" w:hAnsi="宋体" w:eastAsia="宋体" w:cs="宋体"/>
          <w:sz w:val="52"/>
          <w:szCs w:val="52"/>
          <w:lang w:val="en-US" w:eastAsia="zh-CN"/>
        </w:rPr>
        <w:br w:type="page"/>
      </w:r>
    </w:p>
    <w:p>
      <w:pPr>
        <w:pStyle w:val="2"/>
        <w:bidi w:val="0"/>
        <w:jc w:val="center"/>
        <w:rPr>
          <w:rFonts w:hint="eastAsia" w:ascii="宋体" w:hAnsi="宋体" w:eastAsia="宋体" w:cs="宋体"/>
          <w:color w:val="000000"/>
          <w:spacing w:val="0"/>
          <w:w w:val="100"/>
          <w:position w:val="0"/>
          <w:sz w:val="52"/>
          <w:szCs w:val="52"/>
          <w:lang w:val="en-US" w:eastAsia="zh-CN"/>
        </w:rPr>
      </w:pPr>
      <w:bookmarkStart w:id="652" w:name="_Toc19185"/>
      <w:r>
        <w:rPr>
          <w:rFonts w:hint="eastAsia" w:ascii="宋体" w:hAnsi="宋体" w:eastAsia="宋体" w:cs="宋体"/>
          <w:sz w:val="52"/>
          <w:szCs w:val="52"/>
          <w:lang w:val="en-US" w:eastAsia="zh-CN"/>
        </w:rPr>
        <w:t>第五章   采购需求</w:t>
      </w:r>
      <w:bookmarkEnd w:id="651"/>
      <w:bookmarkEnd w:id="652"/>
    </w:p>
    <w:p>
      <w:pPr>
        <w:rPr>
          <w:rFonts w:hint="eastAsia" w:ascii="宋体" w:hAnsi="宋体" w:eastAsia="宋体" w:cs="宋体"/>
          <w:b/>
          <w:bCs/>
          <w:sz w:val="28"/>
          <w:szCs w:val="28"/>
        </w:rPr>
      </w:pPr>
      <w:r>
        <w:rPr>
          <w:rFonts w:hint="eastAsia" w:ascii="宋体" w:hAnsi="宋体" w:eastAsia="宋体" w:cs="宋体"/>
          <w:b/>
          <w:bCs/>
          <w:sz w:val="28"/>
          <w:szCs w:val="28"/>
        </w:rPr>
        <w:br w:type="page"/>
      </w:r>
    </w:p>
    <w:bookmarkEnd w:id="647"/>
    <w:bookmarkEnd w:id="648"/>
    <w:bookmarkEnd w:id="649"/>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采购需求</w:t>
      </w:r>
    </w:p>
    <w:p>
      <w:pPr>
        <w:pStyle w:val="27"/>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采购需求和服务工作开展条件</w:t>
      </w:r>
    </w:p>
    <w:p>
      <w:pPr>
        <w:numPr>
          <w:ilvl w:val="0"/>
          <w:numId w:val="0"/>
        </w:numPr>
        <w:spacing w:line="360" w:lineRule="auto"/>
        <w:ind w:firstLine="480" w:firstLineChars="200"/>
        <w:rPr>
          <w:rFonts w:hint="eastAsia" w:eastAsia="宋体"/>
          <w:sz w:val="24"/>
          <w:szCs w:val="24"/>
          <w:lang w:eastAsia="zh-CN"/>
        </w:rPr>
      </w:pPr>
      <w:r>
        <w:rPr>
          <w:rFonts w:hint="eastAsia" w:cs="宋体"/>
          <w:color w:val="000000"/>
          <w:spacing w:val="0"/>
          <w:w w:val="100"/>
          <w:position w:val="0"/>
          <w:sz w:val="24"/>
          <w:szCs w:val="24"/>
          <w:lang w:val="en-US" w:eastAsia="zh-CN"/>
        </w:rPr>
        <w:t xml:space="preserve">    </w:t>
      </w:r>
      <w:r>
        <w:rPr>
          <w:rFonts w:hint="eastAsia"/>
          <w:sz w:val="24"/>
          <w:szCs w:val="24"/>
        </w:rPr>
        <w:t>项目名称</w:t>
      </w:r>
      <w:r>
        <w:rPr>
          <w:rFonts w:hint="eastAsia"/>
          <w:sz w:val="24"/>
          <w:szCs w:val="24"/>
          <w:lang w:eastAsia="zh-CN"/>
        </w:rPr>
        <w:t>：浦城县乡村振兴示范带建设项目（20条示范带）工程总承包项目预算编制服务</w:t>
      </w:r>
    </w:p>
    <w:p>
      <w:pPr>
        <w:numPr>
          <w:ilvl w:val="0"/>
          <w:numId w:val="0"/>
        </w:numPr>
        <w:spacing w:line="360" w:lineRule="auto"/>
        <w:ind w:firstLine="960" w:firstLineChars="400"/>
        <w:rPr>
          <w:rFonts w:hint="eastAsia" w:eastAsia="宋体"/>
          <w:sz w:val="24"/>
          <w:szCs w:val="24"/>
          <w:lang w:eastAsia="zh-CN"/>
        </w:rPr>
      </w:pPr>
      <w:r>
        <w:rPr>
          <w:rFonts w:hint="eastAsia"/>
          <w:sz w:val="24"/>
          <w:szCs w:val="24"/>
        </w:rPr>
        <w:t>采购人</w:t>
      </w:r>
      <w:r>
        <w:rPr>
          <w:rFonts w:hint="eastAsia"/>
          <w:sz w:val="24"/>
          <w:szCs w:val="24"/>
          <w:lang w:eastAsia="zh-CN"/>
        </w:rPr>
        <w:t>：</w:t>
      </w:r>
      <w:r>
        <w:rPr>
          <w:rFonts w:hint="eastAsia" w:eastAsia="宋体"/>
          <w:sz w:val="24"/>
          <w:szCs w:val="24"/>
          <w:lang w:eastAsia="zh-CN"/>
        </w:rPr>
        <w:t>浦城县交通工程建设开发有限公司</w:t>
      </w:r>
    </w:p>
    <w:p>
      <w:pPr>
        <w:spacing w:line="360" w:lineRule="auto"/>
        <w:ind w:firstLine="960" w:firstLineChars="400"/>
        <w:rPr>
          <w:rFonts w:hint="eastAsia"/>
          <w:sz w:val="24"/>
          <w:szCs w:val="24"/>
        </w:rPr>
      </w:pPr>
      <w:r>
        <w:rPr>
          <w:rFonts w:hint="eastAsia"/>
          <w:sz w:val="24"/>
          <w:szCs w:val="24"/>
        </w:rPr>
        <w:t>采购预算</w:t>
      </w:r>
      <w:r>
        <w:rPr>
          <w:rFonts w:hint="eastAsia"/>
          <w:sz w:val="24"/>
          <w:szCs w:val="24"/>
          <w:lang w:eastAsia="zh-CN"/>
        </w:rPr>
        <w:t>：</w:t>
      </w:r>
      <w:r>
        <w:rPr>
          <w:rFonts w:hint="eastAsia"/>
          <w:sz w:val="24"/>
          <w:szCs w:val="24"/>
          <w:lang w:val="en-US" w:eastAsia="zh-CN"/>
        </w:rPr>
        <w:t>410000</w:t>
      </w:r>
      <w:r>
        <w:rPr>
          <w:rFonts w:hint="eastAsia"/>
          <w:sz w:val="24"/>
          <w:szCs w:val="24"/>
        </w:rPr>
        <w:t>元</w:t>
      </w:r>
    </w:p>
    <w:p>
      <w:pPr>
        <w:pStyle w:val="2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0"/>
        <w:jc w:val="left"/>
        <w:textAlignment w:val="auto"/>
        <w:rPr>
          <w:b w:val="0"/>
          <w:bCs w:val="0"/>
          <w:color w:val="auto"/>
          <w:sz w:val="28"/>
        </w:rPr>
      </w:pPr>
      <w:r>
        <w:rPr>
          <w:rFonts w:hint="eastAsia"/>
          <w:sz w:val="24"/>
          <w:szCs w:val="24"/>
        </w:rPr>
        <w:t>建设内容</w:t>
      </w:r>
      <w:r>
        <w:rPr>
          <w:rFonts w:hint="eastAsia"/>
          <w:sz w:val="24"/>
          <w:szCs w:val="24"/>
          <w:lang w:eastAsia="zh-CN"/>
        </w:rPr>
        <w:t>：</w:t>
      </w:r>
      <w:r>
        <w:rPr>
          <w:rFonts w:hint="eastAsia"/>
          <w:sz w:val="24"/>
          <w:szCs w:val="24"/>
          <w:u w:val="single"/>
          <w:lang w:eastAsia="zh-CN"/>
        </w:rPr>
        <w:t>新建农业种植体验基地约3500亩，在18个乡镇新建20条乡村振兴示范带， 建设美丽乡村微景观建设70处，美丽乡村振兴特色打卡点20个，沿线广告牌改造建设，沿线打造休息节点15个等配套设施。</w:t>
      </w:r>
      <w:r>
        <w:rPr>
          <w:rFonts w:hint="eastAsia"/>
          <w:sz w:val="24"/>
          <w:szCs w:val="24"/>
          <w:u w:val="single"/>
          <w:lang w:val="en-US" w:eastAsia="zh-CN"/>
        </w:rPr>
        <w:t xml:space="preserve">   </w:t>
      </w:r>
    </w:p>
    <w:p>
      <w:pPr>
        <w:pStyle w:val="2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0"/>
        <w:jc w:val="left"/>
        <w:textAlignment w:val="auto"/>
        <w:rPr>
          <w:b w:val="0"/>
          <w:bCs w:val="0"/>
          <w:color w:val="auto"/>
          <w:sz w:val="28"/>
        </w:rPr>
      </w:pPr>
      <w:r>
        <w:rPr>
          <w:rFonts w:hint="eastAsia" w:ascii="宋体" w:hAnsi="宋体" w:eastAsia="宋体" w:cs="宋体"/>
          <w:b w:val="0"/>
          <w:bCs w:val="0"/>
          <w:color w:val="000000"/>
          <w:spacing w:val="0"/>
          <w:w w:val="100"/>
          <w:position w:val="0"/>
          <w:sz w:val="24"/>
          <w:szCs w:val="24"/>
          <w:u w:val="none"/>
        </w:rPr>
        <w:t>成果</w:t>
      </w:r>
      <w:r>
        <w:rPr>
          <w:rFonts w:hint="eastAsia" w:ascii="宋体" w:hAnsi="宋体" w:eastAsia="宋体" w:cs="宋体"/>
          <w:b w:val="0"/>
          <w:bCs w:val="0"/>
          <w:color w:val="000000"/>
          <w:spacing w:val="0"/>
          <w:w w:val="100"/>
          <w:position w:val="0"/>
          <w:sz w:val="24"/>
          <w:szCs w:val="24"/>
          <w:u w:val="none"/>
          <w:lang w:val="en-US" w:eastAsia="zh-CN"/>
        </w:rPr>
        <w:t>文件：</w:t>
      </w:r>
      <w:r>
        <w:rPr>
          <w:rFonts w:hint="eastAsia" w:ascii="宋体" w:hAnsi="宋体" w:eastAsia="宋体" w:cs="宋体"/>
          <w:b w:val="0"/>
          <w:bCs w:val="0"/>
          <w:color w:val="000000"/>
          <w:spacing w:val="0"/>
          <w:w w:val="100"/>
          <w:position w:val="0"/>
          <w:sz w:val="24"/>
          <w:szCs w:val="24"/>
          <w:u w:val="single"/>
          <w:lang w:val="en-US" w:eastAsia="zh-CN"/>
        </w:rPr>
        <w:t>5份</w:t>
      </w:r>
      <w:r>
        <w:rPr>
          <w:rFonts w:hint="eastAsia" w:cs="宋体"/>
          <w:b w:val="0"/>
          <w:bCs w:val="0"/>
          <w:color w:val="000000"/>
          <w:spacing w:val="0"/>
          <w:w w:val="100"/>
          <w:position w:val="0"/>
          <w:sz w:val="24"/>
          <w:szCs w:val="24"/>
          <w:u w:val="single"/>
          <w:lang w:val="en-US" w:eastAsia="zh-CN"/>
        </w:rPr>
        <w:t>。</w:t>
      </w:r>
    </w:p>
    <w:p>
      <w:pPr>
        <w:pStyle w:val="2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0"/>
        <w:jc w:val="left"/>
        <w:textAlignment w:val="auto"/>
        <w:rPr>
          <w:b w:val="0"/>
          <w:bCs w:val="0"/>
          <w:color w:val="auto"/>
          <w:sz w:val="28"/>
        </w:rPr>
      </w:pPr>
      <w:r>
        <w:rPr>
          <w:rFonts w:hint="eastAsia" w:ascii="宋体" w:hAnsi="宋体" w:eastAsia="宋体" w:cs="宋体"/>
          <w:b w:val="0"/>
          <w:bCs w:val="0"/>
          <w:color w:val="000000"/>
          <w:spacing w:val="0"/>
          <w:w w:val="100"/>
          <w:position w:val="0"/>
          <w:sz w:val="24"/>
          <w:szCs w:val="24"/>
          <w:lang w:val="en-US" w:eastAsia="zh-CN"/>
        </w:rPr>
        <w:t>服务期限：业主每提供一个完整的单位工程施工图纸 (经图审)后45个日历天提交该单位工程预算编制成果，并根据业主要求的时间配合预算审核工作。</w:t>
      </w:r>
    </w:p>
    <w:p>
      <w:pPr>
        <w:pStyle w:val="2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lang w:val="en-US" w:eastAsia="zh-CN"/>
        </w:rPr>
        <w:t>服务标准</w:t>
      </w:r>
      <w:r>
        <w:rPr>
          <w:rFonts w:hint="eastAsia" w:ascii="宋体" w:hAnsi="宋体" w:eastAsia="宋体" w:cs="宋体"/>
          <w:color w:val="000000"/>
          <w:spacing w:val="0"/>
          <w:w w:val="100"/>
          <w:position w:val="0"/>
          <w:sz w:val="24"/>
          <w:szCs w:val="24"/>
          <w:lang w:val="en-US" w:eastAsia="zh-CN"/>
        </w:rPr>
        <w:t>：</w:t>
      </w:r>
      <w:r>
        <w:rPr>
          <w:rFonts w:hint="eastAsia" w:ascii="宋体" w:hAnsi="宋体" w:eastAsia="宋体" w:cs="宋体"/>
          <w:color w:val="auto"/>
          <w:sz w:val="24"/>
          <w:szCs w:val="24"/>
          <w:lang w:val="en-US" w:eastAsia="zh-CN" w:bidi="ar"/>
        </w:rPr>
        <w:t>符合现行国家、本地区或行业有关规定、标准、规范的要求。</w:t>
      </w:r>
    </w:p>
    <w:p>
      <w:pPr>
        <w:pStyle w:val="2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配合技术</w:t>
      </w:r>
      <w:r>
        <w:rPr>
          <w:rFonts w:hint="eastAsia" w:ascii="宋体" w:hAnsi="宋体" w:eastAsia="宋体" w:cs="宋体"/>
          <w:color w:val="000000"/>
          <w:spacing w:val="0"/>
          <w:w w:val="100"/>
          <w:position w:val="0"/>
          <w:sz w:val="24"/>
          <w:szCs w:val="24"/>
        </w:rPr>
        <w:t>服务</w:t>
      </w:r>
      <w:r>
        <w:rPr>
          <w:rFonts w:hint="eastAsia" w:ascii="宋体" w:hAnsi="宋体" w:eastAsia="宋体" w:cs="宋体"/>
          <w:color w:val="000000"/>
          <w:spacing w:val="0"/>
          <w:w w:val="100"/>
          <w:position w:val="0"/>
          <w:sz w:val="24"/>
          <w:szCs w:val="24"/>
          <w:lang w:eastAsia="zh-CN"/>
        </w:rPr>
        <w:t>要求：</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（1）中标人应严格遵守国家有关法律法规及我省对造价咨询的相关规定，精心组织开展采购人所委托项目的造价咨询，提供优良的服务，保证招标代理、造价咨询工作顺利实施。</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cs="宋体"/>
          <w:color w:val="auto"/>
          <w:sz w:val="24"/>
          <w:szCs w:val="24"/>
          <w:lang w:eastAsia="zh-CN" w:bidi="ar"/>
        </w:rPr>
        <w:t>符合</w:t>
      </w:r>
      <w:r>
        <w:rPr>
          <w:rFonts w:hint="eastAsia" w:ascii="宋体" w:hAnsi="宋体" w:eastAsia="宋体" w:cs="宋体"/>
          <w:color w:val="auto"/>
          <w:kern w:val="0"/>
          <w:sz w:val="24"/>
          <w:szCs w:val="24"/>
          <w:lang w:val="en-US" w:eastAsia="zh-CN" w:bidi="ar"/>
        </w:rPr>
        <w:t>技术标准《建设工程造价咨询规范》（GB/T 51095-2015）其他造价管理规范、规程。</w:t>
      </w:r>
    </w:p>
    <w:p>
      <w:pPr>
        <w:pStyle w:val="36"/>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rPr>
      </w:pPr>
      <w:r>
        <w:rPr>
          <w:rFonts w:hint="eastAsia" w:ascii="宋体" w:hAnsi="宋体" w:eastAsia="宋体" w:cs="宋体"/>
          <w:color w:val="auto"/>
          <w:sz w:val="24"/>
          <w:szCs w:val="24"/>
          <w:lang w:val="en-US" w:eastAsia="zh-CN" w:bidi="ar"/>
        </w:rPr>
        <w:t>（3）</w:t>
      </w:r>
      <w:r>
        <w:rPr>
          <w:rFonts w:ascii="宋体" w:hAnsi="宋体" w:eastAsia="宋体" w:cs="宋体"/>
          <w:color w:val="auto"/>
          <w:sz w:val="24"/>
          <w:szCs w:val="24"/>
          <w:lang w:eastAsia="zh-CN" w:bidi="ar"/>
        </w:rPr>
        <w:t>本项目投入的人员（包括项目负责人、技术负责人及其他人员等）需与投标文件提供的人员一致（提供人员名单),在项目履行过程中，咨询人员应保持相对稳定，以保证咨询工作正常进行。咨询人可根据工程进展和工作需要等情形调整项目咨询团队人员，但更换项目负责人时，应提前7日向委托人书面报告，经委托人同意后方可更换。更换项目咨询团队其他咨询人员，应提前3日向委托人书面报告，经委托人同意后以相当资格与能力的人员替换。</w:t>
      </w:r>
    </w:p>
    <w:p>
      <w:pPr>
        <w:pStyle w:val="3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eastAsia="zh-CN" w:bidi="ar"/>
        </w:rPr>
        <w:t>咨询人员有下列情形之一，委托人要求咨询人更换的，中标人应当更换：</w:t>
      </w:r>
    </w:p>
    <w:p>
      <w:pPr>
        <w:pStyle w:val="36"/>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auto"/>
        <w:ind w:left="0" w:leftChars="0" w:firstLine="960" w:firstLineChars="0"/>
        <w:jc w:val="both"/>
        <w:textAlignment w:val="auto"/>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存在严重过</w:t>
      </w:r>
      <w:r>
        <w:rPr>
          <w:rFonts w:ascii="宋体" w:hAnsi="宋体" w:eastAsia="宋体" w:cs="宋体"/>
          <w:color w:val="auto"/>
          <w:sz w:val="24"/>
          <w:szCs w:val="24"/>
          <w:highlight w:val="none"/>
          <w:lang w:eastAsia="zh-CN" w:bidi="ar"/>
        </w:rPr>
        <w:t>失行为的；</w:t>
      </w:r>
    </w:p>
    <w:p>
      <w:pPr>
        <w:pStyle w:val="36"/>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auto"/>
        <w:ind w:left="0" w:leftChars="0" w:firstLine="960" w:firstLineChars="0"/>
        <w:jc w:val="both"/>
        <w:textAlignment w:val="auto"/>
        <w:rPr>
          <w:rFonts w:ascii="宋体" w:hAnsi="宋体" w:eastAsia="宋体" w:cs="宋体"/>
          <w:color w:val="auto"/>
          <w:sz w:val="24"/>
          <w:szCs w:val="24"/>
          <w:highlight w:val="none"/>
          <w:lang w:eastAsia="zh-CN" w:bidi="ar"/>
        </w:rPr>
      </w:pPr>
      <w:r>
        <w:rPr>
          <w:rFonts w:ascii="宋体" w:hAnsi="宋体" w:eastAsia="宋体" w:cs="宋体"/>
          <w:color w:val="auto"/>
          <w:sz w:val="24"/>
          <w:szCs w:val="24"/>
          <w:highlight w:val="none"/>
          <w:lang w:eastAsia="zh-CN" w:bidi="ar"/>
        </w:rPr>
        <w:t>存在违法行为不能履行职责的；</w:t>
      </w:r>
    </w:p>
    <w:p>
      <w:pPr>
        <w:pStyle w:val="36"/>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auto"/>
        <w:ind w:left="0" w:leftChars="0" w:firstLine="960" w:firstLineChars="0"/>
        <w:jc w:val="both"/>
        <w:textAlignment w:val="auto"/>
        <w:rPr>
          <w:rFonts w:ascii="宋体" w:hAnsi="宋体" w:eastAsia="宋体" w:cs="宋体"/>
          <w:color w:val="auto"/>
          <w:sz w:val="24"/>
          <w:szCs w:val="24"/>
          <w:highlight w:val="none"/>
          <w:lang w:eastAsia="zh-CN" w:bidi="ar"/>
        </w:rPr>
      </w:pPr>
      <w:r>
        <w:rPr>
          <w:rFonts w:ascii="宋体" w:hAnsi="宋体" w:eastAsia="宋体" w:cs="宋体"/>
          <w:color w:val="auto"/>
          <w:sz w:val="24"/>
          <w:szCs w:val="24"/>
          <w:highlight w:val="none"/>
          <w:lang w:eastAsia="zh-CN" w:bidi="ar"/>
        </w:rPr>
        <w:t>涉嫌犯罪的；</w:t>
      </w:r>
    </w:p>
    <w:p>
      <w:pPr>
        <w:pStyle w:val="36"/>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auto"/>
        <w:ind w:left="0" w:leftChars="0" w:firstLine="960" w:firstLineChars="0"/>
        <w:jc w:val="both"/>
        <w:textAlignment w:val="auto"/>
        <w:rPr>
          <w:rFonts w:ascii="宋体" w:hAnsi="宋体" w:eastAsia="宋体" w:cs="宋体"/>
          <w:color w:val="auto"/>
          <w:sz w:val="24"/>
          <w:szCs w:val="24"/>
          <w:highlight w:val="none"/>
          <w:lang w:eastAsia="zh-CN" w:bidi="ar"/>
        </w:rPr>
      </w:pPr>
      <w:r>
        <w:rPr>
          <w:rFonts w:ascii="宋体" w:hAnsi="宋体" w:eastAsia="宋体" w:cs="宋体"/>
          <w:color w:val="auto"/>
          <w:sz w:val="24"/>
          <w:szCs w:val="24"/>
          <w:highlight w:val="none"/>
          <w:lang w:eastAsia="zh-CN" w:bidi="ar"/>
        </w:rPr>
        <w:t>不能胜任岗位职责的；</w:t>
      </w:r>
    </w:p>
    <w:p>
      <w:pPr>
        <w:pStyle w:val="36"/>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auto"/>
        <w:ind w:left="0" w:leftChars="0" w:firstLine="960" w:firstLineChars="0"/>
        <w:jc w:val="both"/>
        <w:textAlignment w:val="auto"/>
        <w:rPr>
          <w:rFonts w:ascii="宋体" w:hAnsi="宋体" w:eastAsia="宋体" w:cs="宋体"/>
          <w:color w:val="auto"/>
          <w:sz w:val="24"/>
          <w:szCs w:val="24"/>
          <w:highlight w:val="none"/>
          <w:lang w:eastAsia="zh-CN" w:bidi="ar"/>
        </w:rPr>
      </w:pPr>
      <w:r>
        <w:rPr>
          <w:rFonts w:ascii="宋体" w:hAnsi="宋体" w:eastAsia="宋体" w:cs="宋体"/>
          <w:color w:val="auto"/>
          <w:sz w:val="24"/>
          <w:szCs w:val="24"/>
          <w:highlight w:val="none"/>
          <w:lang w:eastAsia="zh-CN" w:bidi="ar"/>
        </w:rPr>
        <w:t>严重违反职业道德的；</w:t>
      </w:r>
    </w:p>
    <w:p>
      <w:pPr>
        <w:pStyle w:val="36"/>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auto"/>
        <w:ind w:left="0" w:leftChars="0" w:firstLine="960" w:firstLineChars="0"/>
        <w:jc w:val="both"/>
        <w:textAlignment w:val="auto"/>
        <w:rPr>
          <w:rFonts w:hint="eastAsia" w:ascii="宋体" w:hAnsi="宋体" w:eastAsia="宋体" w:cs="宋体"/>
          <w:b/>
          <w:bCs/>
          <w:color w:val="auto"/>
          <w:sz w:val="24"/>
          <w:szCs w:val="24"/>
          <w:highlight w:val="none"/>
          <w:lang w:eastAsia="zh-CN"/>
        </w:rPr>
      </w:pPr>
      <w:r>
        <w:rPr>
          <w:rFonts w:ascii="宋体" w:hAnsi="宋体" w:eastAsia="宋体" w:cs="宋体"/>
          <w:color w:val="auto"/>
          <w:sz w:val="24"/>
          <w:szCs w:val="24"/>
          <w:highlight w:val="none"/>
          <w:lang w:eastAsia="zh-CN" w:bidi="ar"/>
        </w:rPr>
        <w:t>专用条件约定的其他情形。</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lang w:val="en-US" w:eastAsia="zh-CN"/>
        </w:rPr>
        <w:t>（5）</w:t>
      </w:r>
      <w:r>
        <w:rPr>
          <w:rFonts w:hint="eastAsia" w:ascii="宋体" w:hAnsi="宋体" w:eastAsia="宋体" w:cs="宋体"/>
          <w:color w:val="auto"/>
          <w:sz w:val="24"/>
          <w:szCs w:val="24"/>
          <w:lang w:val="en-US" w:eastAsia="zh-CN" w:bidi="ar"/>
        </w:rPr>
        <w:t>咨询人向委托人提供有关资料的时间：根据具体委托项目内容双方在委托协议中另行商定，但在委托协议生效并在收到委托人提供的完整资料后，委托项目完成咨询并向委托人提供有关资料的时间不得超过20天。</w:t>
      </w:r>
    </w:p>
    <w:p>
      <w:pPr>
        <w:pStyle w:val="3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szCs w:val="24"/>
          <w:lang w:val="en-US" w:eastAsia="zh-CN" w:bidi="ar"/>
        </w:rPr>
      </w:pPr>
      <w:r>
        <w:rPr>
          <w:rFonts w:hint="eastAsia" w:ascii="宋体" w:hAnsi="宋体" w:cs="宋体"/>
          <w:color w:val="auto"/>
          <w:sz w:val="24"/>
          <w:szCs w:val="24"/>
          <w:lang w:val="en-US" w:eastAsia="zh-CN" w:bidi="ar"/>
        </w:rPr>
        <w:t>（6）</w:t>
      </w:r>
      <w:r>
        <w:rPr>
          <w:rFonts w:hint="eastAsia" w:ascii="宋体" w:hAnsi="宋体" w:eastAsia="宋体" w:cs="宋体"/>
          <w:color w:val="auto"/>
          <w:sz w:val="24"/>
          <w:szCs w:val="24"/>
          <w:lang w:val="en-US" w:eastAsia="zh-CN" w:bidi="ar"/>
        </w:rPr>
        <w:t>电子档包括：与纸质内容相对应文档的预算软件格式、XML格式、EXCEL格式等。</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（7）咨询人须向委托人提供省、市有关规定招标时需要发布的下列相关数据：</w:t>
      </w:r>
    </w:p>
    <w:p>
      <w:pPr>
        <w:pStyle w:val="3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（8）咨询人应在收到委托人以书面形式提出的建议或者异议后，当日内给予书面答复。</w:t>
      </w:r>
    </w:p>
    <w:p>
      <w:pPr>
        <w:pStyle w:val="3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9）委托人提供给咨询人的图纸、委托人为实施工程自行编制或委托编制的技术规范以及反映委托人要求的或其他类似性质文件的著作权属于委托人。咨询人为履行本合同约定而编制的成果文件，其著作权属于咨询人。双方将履行本合同形成的有关成果文件用于企业宣传、申报奖项以及接受上级主管部门的检查须遵守以下约定：不得损害对方或第三方。</w:t>
      </w:r>
    </w:p>
    <w:p>
      <w:pPr>
        <w:pStyle w:val="3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（10）未经委托人许可，咨询人不得向第三人泄露委托人提供的任何资料，亦不得泄露与实施工程有关的第三人所提供的保密资料。</w:t>
      </w:r>
    </w:p>
    <w:p>
      <w:pPr>
        <w:pStyle w:val="3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（11）按照咨询过程中最新的计价计量规范消耗量定额、费用定额执行；</w:t>
      </w:r>
    </w:p>
    <w:p>
      <w:pPr>
        <w:pStyle w:val="3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cs="宋体"/>
          <w:color w:val="000000"/>
          <w:spacing w:val="0"/>
          <w:w w:val="100"/>
          <w:position w:val="0"/>
          <w:sz w:val="24"/>
          <w:szCs w:val="24"/>
          <w:lang w:eastAsia="zh-CN"/>
        </w:rPr>
      </w:pPr>
      <w:r>
        <w:rPr>
          <w:rFonts w:hint="eastAsia" w:ascii="宋体" w:hAnsi="宋体" w:eastAsia="宋体" w:cs="宋体"/>
          <w:color w:val="auto"/>
          <w:sz w:val="24"/>
          <w:szCs w:val="24"/>
          <w:lang w:val="en-US" w:eastAsia="zh-CN" w:bidi="ar"/>
        </w:rPr>
        <w:t>（12）委托人提供的全部资料，委托人对所提供资料的真实性、准确性、合法性与完整性负责。</w:t>
      </w: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7"/>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
        <w:numPr>
          <w:ilvl w:val="0"/>
          <w:numId w:val="8"/>
        </w:numPr>
        <w:bidi w:val="0"/>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 xml:space="preserve">  </w:t>
      </w:r>
      <w:bookmarkStart w:id="653" w:name="_Toc26164"/>
      <w:bookmarkStart w:id="654" w:name="_Toc31079"/>
      <w:r>
        <w:rPr>
          <w:rFonts w:hint="eastAsia" w:ascii="宋体" w:hAnsi="宋体" w:eastAsia="宋体" w:cs="宋体"/>
          <w:sz w:val="52"/>
          <w:szCs w:val="52"/>
          <w:lang w:val="en-US" w:eastAsia="zh-CN"/>
        </w:rPr>
        <w:t>响应文件格式</w:t>
      </w:r>
      <w:bookmarkEnd w:id="653"/>
      <w:bookmarkEnd w:id="654"/>
    </w:p>
    <w:p>
      <w:pP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br w:type="page"/>
      </w: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spacing w:val="0"/>
          <w:w w:val="100"/>
          <w:position w:val="0"/>
          <w:sz w:val="32"/>
          <w:szCs w:val="32"/>
          <w:u w:val="none"/>
          <w:lang w:val="en-US" w:eastAsia="zh-CN"/>
        </w:rPr>
      </w:pPr>
      <w:bookmarkStart w:id="655" w:name="_Toc20751"/>
      <w:bookmarkStart w:id="656" w:name="_Toc11828"/>
      <w:bookmarkStart w:id="657" w:name="_Toc18463"/>
      <w:bookmarkStart w:id="658" w:name="_Toc1938"/>
      <w:bookmarkStart w:id="659" w:name="_Toc730"/>
      <w:bookmarkStart w:id="660" w:name="_Toc15220"/>
      <w:bookmarkStart w:id="661" w:name="_Toc19435"/>
      <w:bookmarkStart w:id="662" w:name="_Toc15767"/>
      <w:bookmarkStart w:id="663" w:name="_Toc23015"/>
      <w:bookmarkStart w:id="664" w:name="bookmark562"/>
      <w:bookmarkStart w:id="665" w:name="bookmark564"/>
      <w:bookmarkStart w:id="666" w:name="bookmark563"/>
      <w:r>
        <w:rPr>
          <w:rFonts w:hint="eastAsia" w:ascii="宋体" w:hAnsi="宋体" w:eastAsia="宋体" w:cs="宋体"/>
          <w:b/>
          <w:bCs/>
          <w:color w:val="000000"/>
          <w:spacing w:val="0"/>
          <w:w w:val="100"/>
          <w:position w:val="0"/>
          <w:sz w:val="32"/>
          <w:szCs w:val="32"/>
          <w:u w:val="single"/>
          <w:lang w:val="en-US" w:eastAsia="zh-CN"/>
        </w:rPr>
        <w:t xml:space="preserve">           </w:t>
      </w:r>
      <w:bookmarkStart w:id="667" w:name="_Toc3183"/>
      <w:bookmarkStart w:id="668" w:name="_Toc14049"/>
      <w:bookmarkStart w:id="669" w:name="_Toc25873"/>
      <w:r>
        <w:rPr>
          <w:rFonts w:hint="eastAsia" w:ascii="宋体" w:hAnsi="宋体" w:eastAsia="宋体" w:cs="宋体"/>
          <w:b/>
          <w:bCs/>
          <w:color w:val="000000"/>
          <w:spacing w:val="0"/>
          <w:w w:val="100"/>
          <w:position w:val="0"/>
          <w:sz w:val="32"/>
          <w:szCs w:val="32"/>
          <w:u w:val="single"/>
          <w:lang w:val="en-US" w:eastAsia="zh-CN"/>
        </w:rPr>
        <w:t>（项目名称）</w:t>
      </w:r>
      <w:bookmarkEnd w:id="655"/>
      <w:bookmarkEnd w:id="656"/>
      <w:bookmarkEnd w:id="657"/>
      <w:bookmarkEnd w:id="658"/>
      <w:bookmarkEnd w:id="659"/>
      <w:bookmarkEnd w:id="660"/>
      <w:bookmarkEnd w:id="661"/>
      <w:bookmarkEnd w:id="662"/>
      <w:bookmarkEnd w:id="667"/>
      <w:bookmarkEnd w:id="668"/>
      <w:bookmarkEnd w:id="669"/>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both"/>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outlineLvl w:val="0"/>
        <w:rPr>
          <w:rFonts w:hint="eastAsia" w:ascii="宋体" w:hAnsi="宋体" w:eastAsia="宋体" w:cs="宋体"/>
          <w:b/>
          <w:bCs/>
          <w:sz w:val="84"/>
          <w:szCs w:val="84"/>
        </w:rPr>
      </w:pPr>
      <w:bookmarkStart w:id="670" w:name="_Toc9495"/>
      <w:bookmarkStart w:id="671" w:name="_Toc18100"/>
      <w:bookmarkStart w:id="672" w:name="_Toc26364"/>
      <w:bookmarkStart w:id="673" w:name="_Toc32750"/>
      <w:bookmarkStart w:id="674" w:name="_Toc8870"/>
      <w:bookmarkStart w:id="675" w:name="_Toc24376"/>
      <w:bookmarkStart w:id="676" w:name="_Toc20134"/>
      <w:bookmarkStart w:id="677" w:name="_Toc170"/>
      <w:bookmarkStart w:id="678" w:name="_Toc6553"/>
      <w:bookmarkStart w:id="679" w:name="_Toc31721"/>
      <w:bookmarkStart w:id="680" w:name="_Toc8797"/>
      <w:r>
        <w:rPr>
          <w:rFonts w:hint="eastAsia" w:ascii="宋体" w:hAnsi="宋体" w:eastAsia="宋体" w:cs="宋体"/>
          <w:b/>
          <w:bCs/>
          <w:sz w:val="84"/>
          <w:szCs w:val="84"/>
        </w:rPr>
        <w:t>响应文件</w:t>
      </w:r>
      <w:bookmarkEnd w:id="670"/>
      <w:bookmarkEnd w:id="671"/>
      <w:bookmarkEnd w:id="672"/>
      <w:bookmarkEnd w:id="673"/>
      <w:bookmarkEnd w:id="674"/>
      <w:bookmarkEnd w:id="675"/>
      <w:bookmarkEnd w:id="676"/>
      <w:bookmarkEnd w:id="677"/>
      <w:bookmarkEnd w:id="678"/>
      <w:bookmarkEnd w:id="679"/>
      <w:bookmarkEnd w:id="680"/>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both"/>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pStyle w:val="26"/>
        <w:keepNext w:val="0"/>
        <w:keepLines w:val="0"/>
        <w:pageBreakBefore w:val="0"/>
        <w:widowControl w:val="0"/>
        <w:shd w:val="clear" w:color="auto" w:fill="auto"/>
        <w:tabs>
          <w:tab w:val="left" w:pos="826"/>
          <w:tab w:val="left" w:pos="2030"/>
          <w:tab w:val="left" w:pos="3235"/>
        </w:tabs>
        <w:kinsoku/>
        <w:wordWrap/>
        <w:overflowPunct/>
        <w:topLinePunct w:val="0"/>
        <w:autoSpaceDE/>
        <w:autoSpaceDN/>
        <w:bidi w:val="0"/>
        <w:adjustRightInd/>
        <w:snapToGrid/>
        <w:spacing w:before="0" w:after="0" w:line="360" w:lineRule="auto"/>
        <w:ind w:right="0" w:firstLine="2560" w:firstLineChars="800"/>
        <w:jc w:val="both"/>
        <w:textAlignment w:val="auto"/>
        <w:outlineLvl w:val="0"/>
        <w:rPr>
          <w:rFonts w:hint="eastAsia" w:ascii="宋体" w:hAnsi="宋体" w:eastAsia="宋体" w:cs="宋体"/>
          <w:color w:val="000000"/>
          <w:spacing w:val="0"/>
          <w:w w:val="100"/>
          <w:position w:val="0"/>
          <w:sz w:val="32"/>
          <w:szCs w:val="32"/>
          <w:u w:val="single"/>
        </w:rPr>
      </w:pPr>
      <w:bookmarkStart w:id="681" w:name="_Toc3"/>
      <w:bookmarkStart w:id="682" w:name="_Toc12897"/>
      <w:bookmarkStart w:id="683" w:name="_Toc10144"/>
      <w:bookmarkStart w:id="684" w:name="_Toc29767"/>
      <w:bookmarkStart w:id="685" w:name="_Toc9373"/>
      <w:bookmarkStart w:id="686" w:name="_Toc15042"/>
      <w:bookmarkStart w:id="687" w:name="_Toc15196"/>
      <w:bookmarkStart w:id="688" w:name="_Toc7921"/>
      <w:bookmarkStart w:id="689" w:name="_Toc21502"/>
      <w:bookmarkStart w:id="690" w:name="_Toc3954"/>
      <w:bookmarkStart w:id="691" w:name="_Toc6197"/>
      <w:r>
        <w:rPr>
          <w:rFonts w:hint="eastAsia" w:cs="宋体"/>
          <w:color w:val="000000"/>
          <w:spacing w:val="0"/>
          <w:w w:val="100"/>
          <w:position w:val="0"/>
          <w:sz w:val="32"/>
          <w:szCs w:val="32"/>
          <w:lang w:eastAsia="zh-CN"/>
        </w:rPr>
        <w:t>供应商</w:t>
      </w:r>
      <w:r>
        <w:rPr>
          <w:rFonts w:hint="eastAsia" w:ascii="宋体" w:hAnsi="宋体" w:eastAsia="宋体" w:cs="宋体"/>
          <w:color w:val="000000"/>
          <w:spacing w:val="0"/>
          <w:w w:val="100"/>
          <w:position w:val="0"/>
          <w:sz w:val="32"/>
          <w:szCs w:val="32"/>
        </w:rPr>
        <w:t>：</w:t>
      </w:r>
      <w:bookmarkEnd w:id="681"/>
      <w:bookmarkEnd w:id="682"/>
      <w:bookmarkEnd w:id="683"/>
      <w:bookmarkEnd w:id="684"/>
      <w:bookmarkEnd w:id="685"/>
      <w:bookmarkEnd w:id="686"/>
      <w:bookmarkEnd w:id="687"/>
      <w:bookmarkEnd w:id="688"/>
      <w:bookmarkEnd w:id="689"/>
      <w:bookmarkEnd w:id="690"/>
      <w:bookmarkEnd w:id="691"/>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p>
    <w:p>
      <w:pPr>
        <w:pStyle w:val="26"/>
        <w:keepNext w:val="0"/>
        <w:keepLines w:val="0"/>
        <w:pageBreakBefore w:val="0"/>
        <w:widowControl w:val="0"/>
        <w:shd w:val="clear" w:color="auto" w:fill="auto"/>
        <w:tabs>
          <w:tab w:val="left" w:pos="826"/>
          <w:tab w:val="left" w:pos="2030"/>
          <w:tab w:val="left" w:pos="3235"/>
        </w:tabs>
        <w:kinsoku/>
        <w:overflowPunct/>
        <w:topLinePunct w:val="0"/>
        <w:autoSpaceDE/>
        <w:autoSpaceDN/>
        <w:bidi w:val="0"/>
        <w:adjustRightInd/>
        <w:snapToGrid/>
        <w:spacing w:before="0" w:after="0" w:line="360" w:lineRule="auto"/>
        <w:ind w:left="0" w:right="0" w:firstLine="640" w:firstLineChars="200"/>
        <w:jc w:val="center"/>
        <w:textAlignment w:val="auto"/>
        <w:outlineLvl w:val="1"/>
        <w:rPr>
          <w:rFonts w:hint="eastAsia" w:ascii="宋体" w:hAnsi="宋体" w:eastAsia="宋体" w:cs="宋体"/>
          <w:color w:val="000000"/>
          <w:spacing w:val="0"/>
          <w:w w:val="100"/>
          <w:position w:val="0"/>
          <w:sz w:val="32"/>
          <w:szCs w:val="32"/>
        </w:rPr>
      </w:pP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bookmarkStart w:id="692" w:name="_Toc20496"/>
      <w:bookmarkStart w:id="693" w:name="_Toc23461"/>
      <w:bookmarkStart w:id="694" w:name="_Toc3269"/>
      <w:bookmarkStart w:id="695" w:name="_Toc10089"/>
      <w:bookmarkStart w:id="696" w:name="_Toc4966"/>
      <w:bookmarkStart w:id="697" w:name="_Toc10576"/>
      <w:bookmarkStart w:id="698" w:name="_Toc16300"/>
      <w:bookmarkStart w:id="699" w:name="_Toc22855"/>
      <w:bookmarkStart w:id="700" w:name="_Toc32450"/>
      <w:bookmarkStart w:id="701" w:name="_Toc29017"/>
      <w:bookmarkStart w:id="702" w:name="_Toc2220"/>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月</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日</w:t>
      </w:r>
      <w:bookmarkEnd w:id="692"/>
      <w:bookmarkEnd w:id="693"/>
      <w:bookmarkEnd w:id="694"/>
      <w:bookmarkEnd w:id="695"/>
      <w:bookmarkEnd w:id="696"/>
      <w:bookmarkEnd w:id="697"/>
      <w:bookmarkEnd w:id="698"/>
      <w:bookmarkEnd w:id="699"/>
      <w:bookmarkEnd w:id="700"/>
      <w:bookmarkEnd w:id="701"/>
      <w:bookmarkEnd w:id="702"/>
    </w:p>
    <w:p>
      <w:pPr>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br w:type="page"/>
      </w:r>
    </w:p>
    <w:p>
      <w:pPr>
        <w:pStyle w:val="3"/>
        <w:keepNext/>
        <w:keepLines/>
        <w:pageBreakBefore w:val="0"/>
        <w:widowControl w:val="0"/>
        <w:numPr>
          <w:ilvl w:val="0"/>
          <w:numId w:val="9"/>
        </w:numPr>
        <w:kinsoku/>
        <w:wordWrap/>
        <w:overflowPunct/>
        <w:topLinePunct w:val="0"/>
        <w:autoSpaceDE/>
        <w:autoSpaceDN/>
        <w:bidi w:val="0"/>
        <w:adjustRightInd/>
        <w:snapToGrid/>
        <w:spacing w:before="0" w:line="360" w:lineRule="auto"/>
        <w:ind w:left="0" w:leftChars="0" w:firstLine="420" w:firstLineChars="0"/>
        <w:jc w:val="center"/>
        <w:textAlignment w:val="auto"/>
        <w:rPr>
          <w:rFonts w:hint="eastAsia" w:ascii="宋体" w:hAnsi="宋体" w:eastAsia="宋体" w:cs="宋体"/>
          <w:sz w:val="28"/>
          <w:szCs w:val="28"/>
        </w:rPr>
      </w:pPr>
      <w:bookmarkStart w:id="703" w:name="_Toc18102"/>
      <w:r>
        <w:rPr>
          <w:rFonts w:hint="eastAsia" w:ascii="宋体" w:hAnsi="宋体" w:eastAsia="宋体" w:cs="宋体"/>
          <w:sz w:val="28"/>
          <w:szCs w:val="28"/>
        </w:rPr>
        <w:t>响应函</w:t>
      </w:r>
      <w:bookmarkEnd w:id="663"/>
      <w:bookmarkEnd w:id="664"/>
      <w:bookmarkEnd w:id="665"/>
      <w:bookmarkEnd w:id="666"/>
      <w:bookmarkEnd w:id="703"/>
    </w:p>
    <w:p>
      <w:pPr>
        <w:pStyle w:val="27"/>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(采购人名称):</w:t>
      </w:r>
    </w:p>
    <w:p>
      <w:pPr>
        <w:pStyle w:val="27"/>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704" w:name="bookmark565"/>
      <w:bookmarkEnd w:id="704"/>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采购文件的全部内容，愿意以含税价人民币(大写)</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)的</w:t>
      </w:r>
      <w:r>
        <w:rPr>
          <w:rFonts w:hint="eastAsia" w:cs="宋体"/>
          <w:color w:val="000000"/>
          <w:spacing w:val="0"/>
          <w:w w:val="100"/>
          <w:position w:val="0"/>
          <w:sz w:val="24"/>
          <w:szCs w:val="24"/>
          <w:lang w:val="en-US" w:eastAsia="zh-CN"/>
        </w:rPr>
        <w:t>总</w:t>
      </w:r>
      <w:r>
        <w:rPr>
          <w:rFonts w:hint="eastAsia" w:ascii="宋体" w:hAnsi="宋体" w:eastAsia="宋体" w:cs="宋体"/>
          <w:color w:val="000000"/>
          <w:spacing w:val="0"/>
          <w:w w:val="100"/>
          <w:position w:val="0"/>
          <w:sz w:val="24"/>
          <w:szCs w:val="24"/>
        </w:rPr>
        <w:t>报价</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服务期限</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rPr>
        <w:t>，按合同约定提供本项目服务</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并</w:t>
      </w:r>
      <w:r>
        <w:rPr>
          <w:rFonts w:hint="eastAsia" w:ascii="宋体" w:hAnsi="宋体" w:eastAsia="宋体" w:cs="宋体"/>
          <w:color w:val="000000"/>
          <w:spacing w:val="0"/>
          <w:w w:val="100"/>
          <w:position w:val="0"/>
          <w:sz w:val="24"/>
          <w:szCs w:val="24"/>
        </w:rPr>
        <w:t>履行义务。</w:t>
      </w:r>
    </w:p>
    <w:p>
      <w:pPr>
        <w:pStyle w:val="27"/>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705" w:name="bookmark566"/>
      <w:bookmarkEnd w:id="705"/>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p>
    <w:p>
      <w:pPr>
        <w:pStyle w:val="27"/>
        <w:keepNext w:val="0"/>
        <w:keepLines w:val="0"/>
        <w:pageBreakBefore w:val="0"/>
        <w:widowControl w:val="0"/>
        <w:numPr>
          <w:ilvl w:val="0"/>
          <w:numId w:val="0"/>
        </w:numPr>
        <w:shd w:val="clear" w:color="auto" w:fill="auto"/>
        <w:tabs>
          <w:tab w:val="left" w:pos="98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706" w:name="bookmark567"/>
      <w:bookmarkEnd w:id="706"/>
      <w:bookmarkStart w:id="707" w:name="_Toc17855"/>
      <w:bookmarkStart w:id="708" w:name="_Toc25123"/>
      <w:bookmarkStart w:id="709" w:name="_Toc219"/>
      <w:bookmarkStart w:id="710" w:name="_Toc5876"/>
      <w:bookmarkStart w:id="711" w:name="_Toc31350"/>
      <w:bookmarkStart w:id="712" w:name="_Toc2251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响应函；</w:t>
      </w:r>
      <w:bookmarkEnd w:id="707"/>
      <w:bookmarkEnd w:id="708"/>
      <w:bookmarkEnd w:id="709"/>
      <w:bookmarkEnd w:id="710"/>
      <w:bookmarkEnd w:id="711"/>
      <w:bookmarkEnd w:id="712"/>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713" w:name="bookmark568"/>
      <w:bookmarkEnd w:id="713"/>
      <w:bookmarkStart w:id="714" w:name="_Toc22017"/>
      <w:bookmarkStart w:id="715" w:name="_Toc17890"/>
      <w:bookmarkStart w:id="716" w:name="_Toc20406"/>
      <w:bookmarkStart w:id="717" w:name="_Toc6349"/>
      <w:bookmarkStart w:id="718" w:name="_Toc27927"/>
      <w:bookmarkStart w:id="719" w:name="_Toc17242"/>
      <w:bookmarkStart w:id="720" w:name="_Toc1936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授权委托书(如有)；</w:t>
      </w:r>
      <w:bookmarkEnd w:id="714"/>
      <w:bookmarkEnd w:id="715"/>
      <w:bookmarkEnd w:id="716"/>
      <w:bookmarkEnd w:id="717"/>
      <w:bookmarkEnd w:id="718"/>
      <w:bookmarkEnd w:id="719"/>
      <w:bookmarkEnd w:id="720"/>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721" w:name="bookmark569"/>
      <w:bookmarkEnd w:id="721"/>
      <w:bookmarkStart w:id="722" w:name="_Toc32442"/>
      <w:bookmarkStart w:id="723" w:name="_Toc9030"/>
      <w:bookmarkStart w:id="724" w:name="_Toc21725"/>
      <w:bookmarkStart w:id="725" w:name="_Toc17920"/>
      <w:bookmarkStart w:id="726" w:name="_Toc27937"/>
      <w:bookmarkStart w:id="727" w:name="_Toc10418"/>
      <w:bookmarkStart w:id="728" w:name="_Toc3186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联合体协议书(如有)；</w:t>
      </w:r>
      <w:bookmarkEnd w:id="722"/>
      <w:bookmarkEnd w:id="723"/>
      <w:bookmarkEnd w:id="724"/>
      <w:bookmarkEnd w:id="725"/>
      <w:bookmarkEnd w:id="726"/>
      <w:bookmarkEnd w:id="727"/>
      <w:bookmarkEnd w:id="728"/>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729" w:name="bookmark570"/>
      <w:bookmarkEnd w:id="729"/>
      <w:bookmarkStart w:id="730" w:name="_Toc32741"/>
      <w:bookmarkStart w:id="731" w:name="_Toc3140"/>
      <w:bookmarkStart w:id="732" w:name="_Toc4163"/>
      <w:bookmarkStart w:id="733" w:name="_Toc31384"/>
      <w:bookmarkStart w:id="734" w:name="_Toc12792"/>
      <w:bookmarkStart w:id="735" w:name="_Toc11091"/>
      <w:bookmarkStart w:id="736" w:name="_Toc795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响应保证金(如有)；</w:t>
      </w:r>
      <w:bookmarkEnd w:id="730"/>
      <w:bookmarkEnd w:id="731"/>
      <w:bookmarkEnd w:id="732"/>
      <w:bookmarkEnd w:id="733"/>
      <w:bookmarkEnd w:id="734"/>
      <w:bookmarkEnd w:id="735"/>
      <w:bookmarkEnd w:id="736"/>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737" w:name="bookmark571"/>
      <w:bookmarkEnd w:id="737"/>
      <w:bookmarkStart w:id="738" w:name="_Toc4721"/>
      <w:bookmarkStart w:id="739" w:name="_Toc27710"/>
      <w:bookmarkStart w:id="740" w:name="_Toc23073"/>
      <w:bookmarkStart w:id="741" w:name="_Toc893"/>
      <w:bookmarkStart w:id="742" w:name="_Toc14411"/>
      <w:bookmarkStart w:id="743" w:name="_Toc6688"/>
      <w:bookmarkStart w:id="744" w:name="_Toc1861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商务和技术偏差表；</w:t>
      </w:r>
      <w:bookmarkEnd w:id="738"/>
      <w:bookmarkEnd w:id="739"/>
      <w:bookmarkEnd w:id="740"/>
      <w:bookmarkEnd w:id="741"/>
      <w:bookmarkEnd w:id="742"/>
      <w:bookmarkEnd w:id="743"/>
      <w:bookmarkEnd w:id="744"/>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745" w:name="bookmark572"/>
      <w:bookmarkEnd w:id="745"/>
      <w:bookmarkStart w:id="746" w:name="_Toc19119"/>
      <w:bookmarkStart w:id="747" w:name="_Toc13016"/>
      <w:bookmarkStart w:id="748" w:name="_Toc10824"/>
      <w:bookmarkStart w:id="749" w:name="_Toc31351"/>
      <w:bookmarkStart w:id="750" w:name="_Toc2009"/>
      <w:bookmarkStart w:id="751" w:name="_Toc15986"/>
      <w:bookmarkStart w:id="752" w:name="_Toc1938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w:t>
      </w:r>
      <w:bookmarkEnd w:id="746"/>
      <w:bookmarkEnd w:id="747"/>
      <w:bookmarkEnd w:id="748"/>
      <w:bookmarkEnd w:id="749"/>
      <w:bookmarkEnd w:id="750"/>
      <w:bookmarkEnd w:id="751"/>
      <w:bookmarkEnd w:id="752"/>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753" w:name="bookmark573"/>
      <w:bookmarkEnd w:id="753"/>
      <w:bookmarkStart w:id="754" w:name="_Toc31166"/>
      <w:bookmarkStart w:id="755" w:name="_Toc5816"/>
      <w:bookmarkStart w:id="756" w:name="_Toc27092"/>
      <w:bookmarkStart w:id="757" w:name="_Toc17482"/>
      <w:bookmarkStart w:id="758" w:name="_Toc10394"/>
      <w:bookmarkStart w:id="759" w:name="_Toc7496"/>
      <w:bookmarkStart w:id="760" w:name="_Toc1465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资格审查资料；</w:t>
      </w:r>
      <w:bookmarkEnd w:id="754"/>
      <w:bookmarkEnd w:id="755"/>
      <w:bookmarkEnd w:id="756"/>
      <w:bookmarkEnd w:id="757"/>
      <w:bookmarkEnd w:id="758"/>
      <w:bookmarkEnd w:id="759"/>
      <w:bookmarkEnd w:id="760"/>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761" w:name="bookmark574"/>
      <w:bookmarkEnd w:id="761"/>
      <w:bookmarkStart w:id="762" w:name="_Toc23877"/>
      <w:bookmarkStart w:id="763" w:name="_Toc14320"/>
      <w:bookmarkStart w:id="764" w:name="_Toc9606"/>
      <w:bookmarkStart w:id="765" w:name="_Toc2762"/>
      <w:bookmarkStart w:id="766" w:name="_Toc443"/>
      <w:bookmarkStart w:id="767" w:name="_Toc1308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响应方案；</w:t>
      </w:r>
      <w:bookmarkEnd w:id="762"/>
      <w:bookmarkEnd w:id="763"/>
      <w:bookmarkEnd w:id="764"/>
      <w:bookmarkEnd w:id="765"/>
      <w:bookmarkEnd w:id="766"/>
      <w:bookmarkEnd w:id="767"/>
    </w:p>
    <w:p>
      <w:pPr>
        <w:pStyle w:val="27"/>
        <w:keepNext w:val="0"/>
        <w:keepLines w:val="0"/>
        <w:pageBreakBefore w:val="0"/>
        <w:widowControl w:val="0"/>
        <w:shd w:val="clear" w:color="auto" w:fill="auto"/>
        <w:tabs>
          <w:tab w:val="left" w:leader="dot" w:pos="-1233"/>
        </w:tabs>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响应文件的上述组成部分如存在内容不一致的，以响应函为准。</w:t>
      </w:r>
    </w:p>
    <w:p>
      <w:pPr>
        <w:pStyle w:val="27"/>
        <w:keepNext w:val="0"/>
        <w:keepLines w:val="0"/>
        <w:pageBreakBefore w:val="0"/>
        <w:widowControl w:val="0"/>
        <w:numPr>
          <w:ilvl w:val="0"/>
          <w:numId w:val="10"/>
        </w:numPr>
        <w:shd w:val="clear" w:color="auto" w:fill="auto"/>
        <w:tabs>
          <w:tab w:val="left" w:pos="903"/>
          <w:tab w:val="clear" w:pos="31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bookmarkStart w:id="768" w:name="bookmark575"/>
      <w:bookmarkEnd w:id="768"/>
      <w:r>
        <w:rPr>
          <w:rFonts w:hint="eastAsia" w:ascii="宋体" w:hAnsi="宋体" w:eastAsia="宋体" w:cs="宋体"/>
          <w:color w:val="000000"/>
          <w:spacing w:val="0"/>
          <w:w w:val="100"/>
          <w:position w:val="0"/>
          <w:sz w:val="24"/>
          <w:szCs w:val="24"/>
        </w:rPr>
        <w:t>我方承诺除商务和技术偏差表列出的偏差外，我方响应采购文件的全部要求。</w:t>
      </w:r>
    </w:p>
    <w:p>
      <w:pPr>
        <w:pStyle w:val="27"/>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769" w:name="bookmark576"/>
      <w:bookmarkEnd w:id="769"/>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pPr>
        <w:pStyle w:val="27"/>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770" w:name="bookmark577"/>
      <w:bookmarkEnd w:id="770"/>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如我方成交，我方承诺：</w:t>
      </w:r>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bookmarkStart w:id="771" w:name="bookmark578"/>
      <w:bookmarkEnd w:id="77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我方承认并遵守响应文件开启现场由我方委托代理人签署的最终报价；</w:t>
      </w:r>
    </w:p>
    <w:p>
      <w:pPr>
        <w:pStyle w:val="27"/>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在收到成交通知书后，在成交通知书规定的期限内与你方签订合同；</w:t>
      </w:r>
    </w:p>
    <w:p>
      <w:pPr>
        <w:pStyle w:val="27"/>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772" w:name="bookmark579"/>
      <w:bookmarkEnd w:id="77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在签订合同时不向你方提岀附加条件；</w:t>
      </w:r>
    </w:p>
    <w:p>
      <w:pPr>
        <w:pStyle w:val="27"/>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773" w:name="bookmark580"/>
      <w:bookmarkEnd w:id="77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按照采购文件要求递交履约保证金；</w:t>
      </w:r>
    </w:p>
    <w:p>
      <w:pPr>
        <w:pStyle w:val="27"/>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774" w:name="bookmark581"/>
      <w:bookmarkEnd w:id="77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在合同约定的期限内完成合同规定的全部义务。</w:t>
      </w:r>
    </w:p>
    <w:p>
      <w:pPr>
        <w:pStyle w:val="27"/>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775" w:name="bookmark582"/>
      <w:bookmarkEnd w:id="775"/>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我方在此声明，所递交的响应文件及有关资料内容完整、真实和准确，且不存在第一章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采购邀请书”中规定的供应商不得存在的情形。</w:t>
      </w:r>
    </w:p>
    <w:p>
      <w:pPr>
        <w:spacing w:line="240" w:lineRule="auto"/>
        <w:ind w:firstLine="480" w:firstLineChars="200"/>
        <w:rPr>
          <w:rFonts w:hint="default" w:ascii="宋体" w:hAnsi="宋体" w:eastAsia="宋体" w:cs="宋体"/>
          <w:sz w:val="24"/>
          <w:szCs w:val="24"/>
          <w:lang w:val="en-US" w:eastAsia="zh-CN"/>
        </w:rPr>
      </w:pPr>
      <w:bookmarkStart w:id="776" w:name="bookmark583"/>
      <w:bookmarkEnd w:id="776"/>
      <w:r>
        <w:rPr>
          <w:rFonts w:hint="eastAsia" w:cs="宋体"/>
          <w:sz w:val="24"/>
          <w:szCs w:val="24"/>
          <w:lang w:val="en-US" w:eastAsia="zh-CN"/>
        </w:rPr>
        <w:t>7.</w:t>
      </w:r>
      <w:r>
        <w:rPr>
          <w:rFonts w:hint="eastAsia" w:cs="宋体"/>
          <w:sz w:val="24"/>
          <w:szCs w:val="24"/>
          <w:u w:val="single"/>
          <w:lang w:val="en-US" w:eastAsia="zh-CN"/>
        </w:rPr>
        <w:t xml:space="preserve">                  （其他补充说明</w:t>
      </w:r>
      <w:r>
        <w:rPr>
          <w:rFonts w:hint="eastAsia" w:cs="宋体"/>
          <w:sz w:val="24"/>
          <w:szCs w:val="24"/>
          <w:lang w:val="en-US" w:eastAsia="zh-CN"/>
        </w:rPr>
        <w:t>）。</w:t>
      </w:r>
    </w:p>
    <w:p>
      <w:pPr>
        <w:pStyle w:val="27"/>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7"/>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7"/>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7"/>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pPr>
        <w:pStyle w:val="27"/>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sz w:val="24"/>
          <w:szCs w:val="24"/>
          <w:u w:val="single"/>
        </w:rPr>
      </w:pPr>
      <w:r>
        <w:rPr>
          <w:rFonts w:hint="eastAsia" w:ascii="宋体" w:hAnsi="宋体" w:eastAsia="宋体" w:cs="宋体"/>
          <w:color w:val="000000"/>
          <w:spacing w:val="0"/>
          <w:w w:val="100"/>
          <w:position w:val="0"/>
          <w:sz w:val="24"/>
          <w:szCs w:val="24"/>
        </w:rPr>
        <w:t xml:space="preserve">传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真：</w:t>
      </w:r>
      <w:r>
        <w:rPr>
          <w:rFonts w:hint="eastAsia" w:cs="宋体"/>
          <w:color w:val="000000"/>
          <w:spacing w:val="0"/>
          <w:w w:val="100"/>
          <w:position w:val="0"/>
          <w:sz w:val="24"/>
          <w:szCs w:val="24"/>
          <w:u w:val="single"/>
          <w:lang w:val="en-US" w:eastAsia="zh-CN"/>
        </w:rPr>
        <w:t xml:space="preserve">                                               </w:t>
      </w:r>
    </w:p>
    <w:p>
      <w:pPr>
        <w:pStyle w:val="27"/>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sz w:val="24"/>
          <w:szCs w:val="24"/>
          <w:u w:val="single"/>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7"/>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center"/>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bookmarkStart w:id="777" w:name="_Toc22112"/>
    </w:p>
    <w:p>
      <w:pPr>
        <w:pStyle w:val="27"/>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center"/>
        <w:textAlignment w:val="auto"/>
        <w:rPr>
          <w:rFonts w:hint="eastAsia" w:cs="宋体"/>
          <w:color w:val="000000"/>
          <w:spacing w:val="0"/>
          <w:w w:val="100"/>
          <w:position w:val="0"/>
          <w:sz w:val="24"/>
          <w:szCs w:val="24"/>
          <w:lang w:eastAsia="zh-CN"/>
        </w:rPr>
      </w:pPr>
    </w:p>
    <w:bookmarkEnd w:id="777"/>
    <w:p>
      <w:pPr>
        <w:pStyle w:val="3"/>
        <w:keepNext/>
        <w:keepLines/>
        <w:pageBreakBefore w:val="0"/>
        <w:widowControl w:val="0"/>
        <w:numPr>
          <w:ilvl w:val="0"/>
          <w:numId w:val="9"/>
        </w:numPr>
        <w:kinsoku/>
        <w:wordWrap/>
        <w:overflowPunct/>
        <w:topLinePunct w:val="0"/>
        <w:autoSpaceDE/>
        <w:autoSpaceDN/>
        <w:bidi w:val="0"/>
        <w:adjustRightInd/>
        <w:snapToGrid/>
        <w:spacing w:before="0" w:line="360" w:lineRule="auto"/>
        <w:ind w:left="0" w:leftChars="0" w:firstLine="420" w:firstLineChars="0"/>
        <w:jc w:val="center"/>
        <w:textAlignment w:val="auto"/>
        <w:rPr>
          <w:rFonts w:hint="eastAsia"/>
          <w:b/>
          <w:bCs w:val="0"/>
        </w:rPr>
      </w:pPr>
      <w:bookmarkStart w:id="778" w:name="_Toc10499"/>
      <w:r>
        <w:rPr>
          <w:rFonts w:hint="eastAsia" w:ascii="宋体" w:hAnsi="宋体" w:eastAsia="宋体" w:cs="宋体"/>
          <w:b/>
          <w:bCs w:val="0"/>
          <w:sz w:val="28"/>
          <w:szCs w:val="28"/>
          <w:lang w:val="en-US" w:eastAsia="zh-CN"/>
        </w:rPr>
        <w:t>授权委托书</w:t>
      </w:r>
      <w:bookmarkEnd w:id="778"/>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center"/>
        <w:textAlignment w:val="auto"/>
        <w:rPr>
          <w:rFonts w:hint="eastAsia" w:ascii="宋体" w:hAnsi="宋体" w:eastAsia="宋体" w:cs="宋体"/>
        </w:rPr>
      </w:pPr>
      <w:r>
        <w:rPr>
          <w:rFonts w:hint="eastAsia" w:ascii="宋体" w:hAnsi="宋体" w:eastAsia="宋体" w:cs="宋体"/>
          <w:color w:val="000000"/>
          <w:spacing w:val="0"/>
          <w:w w:val="100"/>
          <w:position w:val="0"/>
          <w:sz w:val="24"/>
          <w:szCs w:val="24"/>
        </w:rPr>
        <w:t>（适用于有委托代理人的情况）</w:t>
      </w:r>
    </w:p>
    <w:p>
      <w:pPr>
        <w:pStyle w:val="27"/>
        <w:keepNext w:val="0"/>
        <w:keepLines w:val="0"/>
        <w:pageBreakBefore w:val="0"/>
        <w:widowControl w:val="0"/>
        <w:shd w:val="clear" w:color="auto" w:fill="auto"/>
        <w:tabs>
          <w:tab w:val="left" w:pos="2309"/>
          <w:tab w:val="left" w:pos="3802"/>
          <w:tab w:val="left" w:pos="5578"/>
          <w:tab w:val="left" w:pos="598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系</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（供应商名称）</w:t>
      </w:r>
      <w:r>
        <w:rPr>
          <w:rFonts w:hint="eastAsia" w:ascii="宋体" w:hAnsi="宋体" w:eastAsia="宋体" w:cs="宋体"/>
          <w:color w:val="000000"/>
          <w:spacing w:val="0"/>
          <w:w w:val="100"/>
          <w:position w:val="0"/>
          <w:sz w:val="24"/>
          <w:szCs w:val="24"/>
        </w:rPr>
        <w:t>的法定代表人（单位负责人），现委托</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为我方代理人。代理人根据授权，以我方名义签署、澄清确认、递交、撤回、修改</w:t>
      </w:r>
      <w:r>
        <w:rPr>
          <w:rFonts w:hint="eastAsia" w:cs="宋体"/>
          <w:color w:val="000000"/>
          <w:spacing w:val="0"/>
          <w:w w:val="100"/>
          <w:position w:val="0"/>
          <w:sz w:val="24"/>
          <w:szCs w:val="24"/>
          <w:u w:val="single"/>
          <w:lang w:val="en-US" w:eastAsia="zh-CN"/>
        </w:rPr>
        <w:t xml:space="preserve">      </w:t>
      </w:r>
      <w:r>
        <w:rPr>
          <w:rFonts w:hint="eastAsia" w:cs="宋体"/>
          <w:color w:val="000000"/>
          <w:spacing w:val="0"/>
          <w:w w:val="100"/>
          <w:position w:val="0"/>
          <w:sz w:val="24"/>
          <w:szCs w:val="24"/>
          <w:u w:val="none"/>
          <w:lang w:val="en-US" w:eastAsia="zh-CN"/>
        </w:rPr>
        <w:t>询比采购</w:t>
      </w:r>
      <w:r>
        <w:rPr>
          <w:rFonts w:hint="eastAsia" w:ascii="宋体" w:hAnsi="宋体" w:eastAsia="宋体" w:cs="宋体"/>
          <w:color w:val="000000"/>
          <w:spacing w:val="0"/>
          <w:w w:val="100"/>
          <w:position w:val="0"/>
          <w:sz w:val="24"/>
          <w:szCs w:val="24"/>
        </w:rPr>
        <w:t>项目响应文件、</w:t>
      </w:r>
      <w:r>
        <w:rPr>
          <w:rFonts w:hint="eastAsia" w:cs="宋体"/>
          <w:color w:val="000000"/>
          <w:spacing w:val="0"/>
          <w:w w:val="100"/>
          <w:position w:val="0"/>
          <w:sz w:val="24"/>
          <w:szCs w:val="24"/>
          <w:lang w:val="en-US" w:eastAsia="zh-CN"/>
        </w:rPr>
        <w:t>二次报价（最终报价）表、</w:t>
      </w:r>
      <w:r>
        <w:rPr>
          <w:rFonts w:hint="eastAsia" w:ascii="宋体" w:hAnsi="宋体" w:eastAsia="宋体" w:cs="宋体"/>
          <w:color w:val="000000"/>
          <w:spacing w:val="0"/>
          <w:w w:val="100"/>
          <w:position w:val="0"/>
          <w:sz w:val="24"/>
          <w:szCs w:val="24"/>
        </w:rPr>
        <w:t>签订合同和处理有关事宜，其法律后果由我方</w:t>
      </w:r>
      <w:r>
        <w:rPr>
          <w:rFonts w:hint="eastAsia" w:ascii="宋体" w:hAnsi="宋体" w:eastAsia="宋体" w:cs="宋体"/>
          <w:color w:val="000000"/>
          <w:spacing w:val="0"/>
          <w:w w:val="100"/>
          <w:position w:val="0"/>
          <w:sz w:val="24"/>
          <w:szCs w:val="24"/>
          <w:lang w:val="zh-CN" w:eastAsia="zh-CN" w:bidi="zh-CN"/>
        </w:rPr>
        <w:t>承担。</w:t>
      </w:r>
    </w:p>
    <w:p>
      <w:pPr>
        <w:pStyle w:val="27"/>
        <w:keepNext w:val="0"/>
        <w:keepLines w:val="0"/>
        <w:pageBreakBefore w:val="0"/>
        <w:widowControl w:val="0"/>
        <w:shd w:val="clear" w:color="auto" w:fill="auto"/>
        <w:tabs>
          <w:tab w:val="left" w:pos="566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委托期限：自本委托书签署之日起至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询比采购</w:t>
      </w:r>
      <w:r>
        <w:rPr>
          <w:rFonts w:hint="eastAsia" w:ascii="宋体" w:hAnsi="宋体" w:eastAsia="宋体" w:cs="宋体"/>
          <w:color w:val="000000"/>
          <w:spacing w:val="0"/>
          <w:w w:val="100"/>
          <w:position w:val="0"/>
          <w:sz w:val="24"/>
          <w:szCs w:val="24"/>
        </w:rPr>
        <w:t>项目签订采购合同之日止。</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代理人无转委托权。</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附：法定代表人（单位负责人）身份证复印件及委托代理人身份证复印件。</w:t>
      </w:r>
    </w:p>
    <w:p>
      <w:pPr>
        <w:pStyle w:val="27"/>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（签字或盖章）</w:t>
      </w:r>
    </w:p>
    <w:p>
      <w:pPr>
        <w:pStyle w:val="27"/>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7"/>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color w:val="000000"/>
          <w:spacing w:val="0"/>
          <w:w w:val="100"/>
          <w:position w:val="0"/>
          <w:sz w:val="24"/>
          <w:szCs w:val="24"/>
          <w:u w:val="single"/>
          <w:lang w:eastAsia="zh-CN"/>
        </w:rPr>
      </w:pPr>
      <w:r>
        <w:rPr>
          <w:rFonts w:hint="eastAsia" w:ascii="宋体" w:hAnsi="宋体" w:eastAsia="宋体" w:cs="宋体"/>
          <w:color w:val="000000"/>
          <w:spacing w:val="0"/>
          <w:w w:val="100"/>
          <w:position w:val="0"/>
          <w:sz w:val="24"/>
          <w:szCs w:val="24"/>
        </w:rPr>
        <w:t>委托代理人：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r>
        <w:rPr>
          <w:rFonts w:hint="eastAsia" w:cs="宋体"/>
          <w:color w:val="000000"/>
          <w:spacing w:val="0"/>
          <w:w w:val="100"/>
          <w:position w:val="0"/>
          <w:sz w:val="24"/>
          <w:szCs w:val="24"/>
          <w:u w:val="single"/>
          <w:lang w:eastAsia="zh-CN"/>
        </w:rPr>
        <w:t>）</w:t>
      </w:r>
    </w:p>
    <w:p>
      <w:pPr>
        <w:pStyle w:val="27"/>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7"/>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7"/>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7"/>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pPr>
        <w:pStyle w:val="27"/>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rPr>
          <w:rFonts w:hint="eastAsia" w:ascii="宋体" w:hAnsi="宋体" w:eastAsia="宋体" w:cs="宋体"/>
          <w:sz w:val="28"/>
          <w:szCs w:val="28"/>
        </w:rPr>
      </w:pPr>
      <w:bookmarkStart w:id="779" w:name="bookmark590"/>
      <w:bookmarkStart w:id="780" w:name="_Toc19520"/>
      <w:bookmarkStart w:id="781" w:name="bookmark588"/>
      <w:bookmarkStart w:id="782" w:name="bookmark589"/>
      <w:bookmarkStart w:id="783" w:name="bookmark591"/>
      <w:r>
        <w:rPr>
          <w:rFonts w:hint="eastAsia" w:ascii="宋体" w:hAnsi="宋体" w:eastAsia="宋体" w:cs="宋体"/>
          <w:sz w:val="28"/>
          <w:szCs w:val="28"/>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784" w:name="_Toc27014"/>
      <w:r>
        <w:rPr>
          <w:rFonts w:hint="eastAsia" w:ascii="宋体" w:hAnsi="宋体" w:eastAsia="宋体" w:cs="宋体"/>
          <w:sz w:val="28"/>
          <w:szCs w:val="28"/>
        </w:rPr>
        <w:t>三</w:t>
      </w:r>
      <w:bookmarkEnd w:id="779"/>
      <w:r>
        <w:rPr>
          <w:rFonts w:hint="eastAsia" w:ascii="宋体" w:hAnsi="宋体" w:eastAsia="宋体" w:cs="宋体"/>
          <w:sz w:val="28"/>
          <w:szCs w:val="28"/>
        </w:rPr>
        <w:t>、联合体协议书</w:t>
      </w:r>
      <w:bookmarkEnd w:id="780"/>
      <w:bookmarkEnd w:id="781"/>
      <w:bookmarkEnd w:id="782"/>
      <w:bookmarkEnd w:id="783"/>
      <w:bookmarkEnd w:id="784"/>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（适用于供应商组成联合体的情况）</w:t>
      </w:r>
    </w:p>
    <w:p>
      <w:pPr>
        <w:pStyle w:val="27"/>
        <w:keepNext w:val="0"/>
        <w:keepLines w:val="0"/>
        <w:pageBreakBefore w:val="0"/>
        <w:widowControl w:val="0"/>
        <w:shd w:val="clear" w:color="auto" w:fill="auto"/>
        <w:tabs>
          <w:tab w:val="left" w:pos="2338"/>
          <w:tab w:val="left" w:pos="3259"/>
          <w:tab w:val="left" w:pos="688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（所有成员单位名称）</w:t>
      </w:r>
      <w:r>
        <w:rPr>
          <w:rFonts w:hint="eastAsia" w:ascii="宋体" w:hAnsi="宋体" w:eastAsia="宋体" w:cs="宋体"/>
          <w:color w:val="000000"/>
          <w:spacing w:val="0"/>
          <w:w w:val="100"/>
          <w:position w:val="0"/>
          <w:sz w:val="24"/>
          <w:szCs w:val="24"/>
        </w:rPr>
        <w:t>自愿组成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（联合体名称）</w:t>
      </w:r>
      <w:r>
        <w:rPr>
          <w:rFonts w:hint="eastAsia" w:ascii="宋体" w:hAnsi="宋体" w:eastAsia="宋体" w:cs="宋体"/>
          <w:color w:val="000000"/>
          <w:spacing w:val="0"/>
          <w:w w:val="100"/>
          <w:position w:val="0"/>
          <w:sz w:val="24"/>
          <w:szCs w:val="24"/>
        </w:rPr>
        <w:t>联合体，共同参加</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活动。现就组成联合体事宜订立如下协议。</w:t>
      </w:r>
    </w:p>
    <w:p>
      <w:pPr>
        <w:pStyle w:val="27"/>
        <w:keepNext w:val="0"/>
        <w:keepLines w:val="0"/>
        <w:pageBreakBefore w:val="0"/>
        <w:widowControl w:val="0"/>
        <w:numPr>
          <w:ilvl w:val="0"/>
          <w:numId w:val="0"/>
        </w:numPr>
        <w:shd w:val="clear" w:color="auto" w:fill="auto"/>
        <w:tabs>
          <w:tab w:val="left" w:pos="748"/>
          <w:tab w:val="left" w:pos="2737"/>
          <w:tab w:val="left" w:pos="614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785" w:name="bookmark592"/>
      <w:bookmarkEnd w:id="785"/>
      <w:r>
        <w:rPr>
          <w:rFonts w:hint="eastAsia" w:cs="宋体"/>
          <w:sz w:val="24"/>
          <w:szCs w:val="24"/>
          <w:u w:val="none"/>
          <w:lang w:val="en-US" w:eastAsia="zh-CN"/>
        </w:rPr>
        <w:t>1.</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（某成员单位名称）为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（联合体名称）牵头人。</w:t>
      </w:r>
    </w:p>
    <w:p>
      <w:pPr>
        <w:pStyle w:val="2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786" w:name="bookmark593"/>
      <w:bookmarkEnd w:id="786"/>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联合体各成员授权牵头人代表联合体参加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采购活动，签署文件，递交和接收相关的资料、信息及指示，进行合同谈判活动，负责合同实施阶段的组织和协调工作，以及处理与本采购项目有关的一切事宜。</w:t>
      </w:r>
    </w:p>
    <w:p>
      <w:pPr>
        <w:pStyle w:val="2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787" w:name="bookmark594"/>
      <w:bookmarkEnd w:id="787"/>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联合体牵头人在本项目中签署的一切文件和处理的一切事宜，联合体各成员均予以承认。联合体各成员将严格按照采购文件、响应文件和合同的要求全面履行义务,并向采购人承担连带责任。</w:t>
      </w:r>
    </w:p>
    <w:p>
      <w:pPr>
        <w:pStyle w:val="27"/>
        <w:keepNext w:val="0"/>
        <w:keepLines w:val="0"/>
        <w:pageBreakBefore w:val="0"/>
        <w:widowControl w:val="0"/>
        <w:numPr>
          <w:ilvl w:val="0"/>
          <w:numId w:val="0"/>
        </w:numPr>
        <w:shd w:val="clear" w:color="auto" w:fill="auto"/>
        <w:tabs>
          <w:tab w:val="left" w:pos="81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788" w:name="bookmark595"/>
      <w:bookmarkEnd w:id="788"/>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联合体各方承诺不以自己名义单独或参加其他联合体参与本</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釆购项目。</w:t>
      </w:r>
    </w:p>
    <w:p>
      <w:pPr>
        <w:pStyle w:val="27"/>
        <w:keepNext w:val="0"/>
        <w:keepLines w:val="0"/>
        <w:pageBreakBefore w:val="0"/>
        <w:widowControl w:val="0"/>
        <w:numPr>
          <w:ilvl w:val="0"/>
          <w:numId w:val="0"/>
        </w:numPr>
        <w:shd w:val="clear" w:color="auto" w:fill="auto"/>
        <w:tabs>
          <w:tab w:val="left" w:pos="818"/>
          <w:tab w:val="left" w:pos="887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lang w:eastAsia="zh-CN"/>
        </w:rPr>
      </w:pPr>
      <w:bookmarkStart w:id="789" w:name="bookmark596"/>
      <w:bookmarkEnd w:id="789"/>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联合体各成员单位内部的职责分工如下：</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p>
    <w:p>
      <w:pPr>
        <w:pStyle w:val="27"/>
        <w:keepNext w:val="0"/>
        <w:keepLines w:val="0"/>
        <w:pageBreakBefore w:val="0"/>
        <w:widowControl w:val="0"/>
        <w:numPr>
          <w:ilvl w:val="0"/>
          <w:numId w:val="0"/>
        </w:numPr>
        <w:shd w:val="clear" w:color="auto" w:fill="auto"/>
        <w:tabs>
          <w:tab w:val="left" w:pos="82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790" w:name="bookmark597"/>
      <w:bookmarkEnd w:id="790"/>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本协议书自所有成员单位法定代表人（单位负责人）或其授权的代理人签字并加盖单位章之日起生效，合同履行完毕后自动失效。</w:t>
      </w:r>
    </w:p>
    <w:p>
      <w:pPr>
        <w:pStyle w:val="27"/>
        <w:keepNext w:val="0"/>
        <w:keepLines w:val="0"/>
        <w:pageBreakBefore w:val="0"/>
        <w:widowControl w:val="0"/>
        <w:numPr>
          <w:ilvl w:val="0"/>
          <w:numId w:val="0"/>
        </w:numPr>
        <w:shd w:val="clear" w:color="auto" w:fill="auto"/>
        <w:tabs>
          <w:tab w:val="left" w:pos="748"/>
          <w:tab w:val="left" w:pos="3082"/>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791" w:name="bookmark598"/>
      <w:bookmarkEnd w:id="791"/>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rPr>
        <w:t>本协议书一式</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份，联合体成员和采购人各执一份。</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（注：本协议书由委托代理人签字的，应附授权委托书。）</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eastAsia" w:ascii="宋体" w:hAnsi="宋体" w:eastAsia="宋体" w:cs="宋体"/>
          <w:color w:val="000000"/>
          <w:spacing w:val="0"/>
          <w:w w:val="100"/>
          <w:position w:val="0"/>
          <w:sz w:val="18"/>
          <w:szCs w:val="18"/>
        </w:rPr>
      </w:pPr>
    </w:p>
    <w:p>
      <w:pPr>
        <w:pStyle w:val="27"/>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联合体牵头人名称：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7"/>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7"/>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7"/>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31"/>
        <w:keepNext w:val="0"/>
        <w:keepLines w:val="0"/>
        <w:pageBreakBefore w:val="0"/>
        <w:widowControl w:val="0"/>
        <w:shd w:val="clear" w:color="auto" w:fill="auto"/>
        <w:tabs>
          <w:tab w:val="left" w:leader="dot" w:pos="-79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p>
    <w:p>
      <w:pPr>
        <w:pStyle w:val="27"/>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pPr>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pPr>
        <w:pStyle w:val="27"/>
        <w:keepNext w:val="0"/>
        <w:keepLines w:val="0"/>
        <w:pageBreakBefore w:val="0"/>
        <w:widowControl w:val="0"/>
        <w:shd w:val="clear" w:color="auto" w:fill="auto"/>
        <w:tabs>
          <w:tab w:val="left" w:pos="955"/>
          <w:tab w:val="left" w:pos="2155"/>
          <w:tab w:val="left" w:pos="3355"/>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792" w:name="bookmark601"/>
      <w:bookmarkStart w:id="793" w:name="bookmark600"/>
      <w:bookmarkStart w:id="794" w:name="bookmark602"/>
      <w:bookmarkStart w:id="795" w:name="_Toc29439"/>
      <w:bookmarkStart w:id="796" w:name="_Toc30455"/>
      <w:bookmarkStart w:id="797" w:name="bookmark599"/>
      <w:r>
        <w:rPr>
          <w:rFonts w:hint="eastAsia" w:ascii="宋体" w:hAnsi="宋体" w:eastAsia="宋体" w:cs="宋体"/>
          <w:sz w:val="28"/>
          <w:szCs w:val="28"/>
        </w:rPr>
        <w:t>四</w:t>
      </w:r>
      <w:bookmarkEnd w:id="792"/>
      <w:r>
        <w:rPr>
          <w:rFonts w:hint="eastAsia" w:ascii="宋体" w:hAnsi="宋体" w:eastAsia="宋体" w:cs="宋体"/>
          <w:sz w:val="28"/>
          <w:szCs w:val="28"/>
        </w:rPr>
        <w:t>、响应保证金</w:t>
      </w:r>
      <w:bookmarkEnd w:id="793"/>
      <w:bookmarkEnd w:id="794"/>
      <w:bookmarkEnd w:id="795"/>
      <w:bookmarkEnd w:id="796"/>
      <w:bookmarkEnd w:id="797"/>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（适用于递交响应保证金的情况）</w:t>
      </w:r>
    </w:p>
    <w:p>
      <w:pPr>
        <w:pStyle w:val="27"/>
        <w:keepNext w:val="0"/>
        <w:keepLines w:val="0"/>
        <w:pageBreakBefore w:val="0"/>
        <w:widowControl w:val="0"/>
        <w:numPr>
          <w:ilvl w:val="0"/>
          <w:numId w:val="0"/>
        </w:numPr>
        <w:shd w:val="clear" w:color="auto" w:fill="auto"/>
        <w:tabs>
          <w:tab w:val="left" w:pos="80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798" w:name="bookmark603"/>
      <w:bookmarkEnd w:id="798"/>
      <w:r>
        <w:rPr>
          <w:rFonts w:hint="eastAsia" w:ascii="宋体" w:hAnsi="宋体" w:eastAsia="宋体" w:cs="宋体"/>
          <w:color w:val="000000"/>
          <w:spacing w:val="0"/>
          <w:w w:val="100"/>
          <w:position w:val="0"/>
          <w:sz w:val="24"/>
          <w:szCs w:val="24"/>
        </w:rPr>
        <w:t>采用电汇或银行转账方式的，供应商应在此提供转账凭证复印件。</w:t>
      </w:r>
    </w:p>
    <w:p>
      <w:pPr>
        <w:pStyle w:val="27"/>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rPr>
      </w:pPr>
      <w:r>
        <w:rPr>
          <w:rFonts w:hint="eastAsia" w:ascii="宋体" w:hAnsi="宋体" w:eastAsia="宋体" w:cs="宋体"/>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799" w:name="bookmark608"/>
      <w:bookmarkStart w:id="800" w:name="bookmark606"/>
      <w:bookmarkStart w:id="801" w:name="_Toc8631"/>
      <w:bookmarkStart w:id="802" w:name="bookmark609"/>
      <w:bookmarkStart w:id="803" w:name="_Toc807"/>
      <w:bookmarkStart w:id="804" w:name="bookmark607"/>
      <w:r>
        <w:rPr>
          <w:rFonts w:hint="eastAsia" w:ascii="宋体" w:hAnsi="宋体" w:eastAsia="宋体" w:cs="宋体"/>
          <w:sz w:val="28"/>
          <w:szCs w:val="28"/>
        </w:rPr>
        <w:t>五</w:t>
      </w:r>
      <w:bookmarkEnd w:id="799"/>
      <w:r>
        <w:rPr>
          <w:rFonts w:hint="eastAsia" w:ascii="宋体" w:hAnsi="宋体" w:eastAsia="宋体" w:cs="宋体"/>
          <w:sz w:val="28"/>
          <w:szCs w:val="28"/>
        </w:rPr>
        <w:t>、商务和技术偏差表</w:t>
      </w:r>
      <w:bookmarkEnd w:id="800"/>
      <w:bookmarkEnd w:id="801"/>
      <w:bookmarkEnd w:id="802"/>
      <w:bookmarkEnd w:id="803"/>
      <w:bookmarkEnd w:id="804"/>
    </w:p>
    <w:tbl>
      <w:tblPr>
        <w:tblStyle w:val="19"/>
        <w:tblW w:w="0" w:type="auto"/>
        <w:jc w:val="center"/>
        <w:tblLayout w:type="fixed"/>
        <w:tblCellMar>
          <w:top w:w="0" w:type="dxa"/>
          <w:left w:w="10" w:type="dxa"/>
          <w:bottom w:w="0" w:type="dxa"/>
          <w:right w:w="10" w:type="dxa"/>
        </w:tblCellMar>
      </w:tblPr>
      <w:tblGrid>
        <w:gridCol w:w="1142"/>
        <w:gridCol w:w="3106"/>
        <w:gridCol w:w="3101"/>
        <w:gridCol w:w="1709"/>
      </w:tblGrid>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采购文件章节及条款号</w:t>
            </w:r>
          </w:p>
        </w:tc>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响应文件章节及条款号</w:t>
            </w:r>
          </w:p>
        </w:tc>
        <w:tc>
          <w:tcPr>
            <w:tcBorders>
              <w:top w:val="single" w:color="auto" w:sz="4" w:space="0"/>
              <w:left w:val="single" w:color="auto" w:sz="4" w:space="0"/>
              <w:righ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偏差说明</w:t>
            </w: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1</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2</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3</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4</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5</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bottom w:val="single" w:color="auto" w:sz="4" w:space="0"/>
            </w:tcBorders>
            <w:shd w:val="clear" w:color="auto" w:fill="FFFFFF"/>
            <w:vAlign w:val="center"/>
          </w:tcPr>
          <w:p>
            <w:pPr>
              <w:pStyle w:val="31"/>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sz w:val="24"/>
          <w:szCs w:val="24"/>
        </w:rPr>
        <w:t>供应商保证：除商务和技术偏差表列出的偏差外，供应商响应采购文件的全部要求</w:t>
      </w:r>
      <w:r>
        <w:rPr>
          <w:rFonts w:hint="eastAsia" w:ascii="宋体" w:hAnsi="宋体" w:eastAsia="宋体" w:cs="宋体"/>
          <w:color w:val="000000"/>
          <w:spacing w:val="0"/>
          <w:w w:val="100"/>
          <w:position w:val="0"/>
        </w:rPr>
        <w:t>。</w:t>
      </w:r>
    </w:p>
    <w:p>
      <w:pPr>
        <w:rPr>
          <w:rFonts w:hint="eastAsia" w:ascii="宋体" w:hAnsi="宋体" w:eastAsia="宋体" w:cs="宋体"/>
          <w:color w:val="000000"/>
          <w:spacing w:val="0"/>
          <w:w w:val="100"/>
          <w:position w:val="0"/>
          <w:sz w:val="24"/>
          <w:szCs w:val="24"/>
        </w:rPr>
        <w:sectPr>
          <w:headerReference r:id="rId11" w:type="default"/>
          <w:footerReference r:id="rId12" w:type="default"/>
          <w:footnotePr>
            <w:numFmt w:val="decimal"/>
          </w:footnotePr>
          <w:pgSz w:w="11906" w:h="16838"/>
          <w:pgMar w:top="1440" w:right="1800" w:bottom="1440" w:left="1800" w:header="0" w:footer="3" w:gutter="0"/>
          <w:pgNumType w:fmt="decimal"/>
          <w:cols w:space="720" w:num="1"/>
          <w:rtlGutter w:val="0"/>
          <w:docGrid w:linePitch="360" w:charSpace="0"/>
        </w:sectPr>
      </w:pPr>
      <w:r>
        <w:rPr>
          <w:rFonts w:hint="eastAsia" w:ascii="宋体" w:hAnsi="宋体" w:eastAsia="宋体" w:cs="宋体"/>
          <w:color w:val="000000"/>
          <w:spacing w:val="0"/>
          <w:w w:val="100"/>
          <w:position w:val="0"/>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b/>
          <w:bCs w:val="0"/>
          <w:sz w:val="28"/>
          <w:szCs w:val="28"/>
        </w:rPr>
      </w:pPr>
      <w:bookmarkStart w:id="805" w:name="bookmark621"/>
      <w:bookmarkStart w:id="806" w:name="bookmark622"/>
      <w:bookmarkStart w:id="807" w:name="_Toc7358"/>
      <w:bookmarkStart w:id="808" w:name="bookmark620"/>
      <w:bookmarkStart w:id="809" w:name="bookmark619"/>
      <w:bookmarkStart w:id="810" w:name="_Toc425"/>
      <w:r>
        <w:rPr>
          <w:rFonts w:hint="eastAsia" w:ascii="宋体" w:hAnsi="宋体" w:eastAsia="宋体" w:cs="宋体"/>
          <w:b/>
          <w:bCs w:val="0"/>
          <w:sz w:val="28"/>
          <w:szCs w:val="28"/>
        </w:rPr>
        <w:t>六</w:t>
      </w:r>
      <w:bookmarkEnd w:id="805"/>
      <w:r>
        <w:rPr>
          <w:rFonts w:hint="eastAsia" w:ascii="宋体" w:hAnsi="宋体" w:eastAsia="宋体" w:cs="宋体"/>
          <w:b/>
          <w:bCs w:val="0"/>
          <w:sz w:val="28"/>
          <w:szCs w:val="28"/>
        </w:rPr>
        <w:t>、报价表</w:t>
      </w:r>
      <w:bookmarkEnd w:id="806"/>
      <w:bookmarkEnd w:id="807"/>
      <w:bookmarkEnd w:id="808"/>
      <w:bookmarkEnd w:id="809"/>
      <w:bookmarkEnd w:id="810"/>
    </w:p>
    <w:p>
      <w:pPr>
        <w:pStyle w:val="36"/>
        <w:rPr>
          <w:rFonts w:ascii="宋体" w:hAnsi="宋体" w:cs="宋体"/>
          <w:color w:val="auto"/>
          <w:sz w:val="24"/>
          <w:szCs w:val="24"/>
        </w:rPr>
      </w:pPr>
    </w:p>
    <w:p>
      <w:pPr>
        <w:pStyle w:val="36"/>
        <w:spacing w:line="360" w:lineRule="auto"/>
        <w:ind w:left="-480" w:leftChars="-200" w:firstLine="0" w:firstLineChars="0"/>
        <w:rPr>
          <w:rFonts w:ascii="宋体" w:hAnsi="宋体" w:cs="宋体"/>
          <w:color w:val="auto"/>
          <w:sz w:val="24"/>
          <w:szCs w:val="24"/>
          <w:lang w:eastAsia="zh-CN"/>
        </w:rPr>
      </w:pPr>
      <w:r>
        <w:rPr>
          <w:rFonts w:ascii="宋体" w:hAnsi="宋体" w:cs="宋体"/>
          <w:color w:val="auto"/>
          <w:sz w:val="24"/>
          <w:szCs w:val="24"/>
        </w:rPr>
        <w:t>项目编号∶</w:t>
      </w:r>
      <w:r>
        <w:rPr>
          <w:rFonts w:ascii="宋体" w:hAnsi="宋体" w:cs="宋体"/>
          <w:color w:val="auto"/>
          <w:sz w:val="24"/>
          <w:szCs w:val="24"/>
          <w:u w:val="single"/>
        </w:rPr>
        <w:t>　　　　　　</w:t>
      </w:r>
      <w:r>
        <w:rPr>
          <w:rFonts w:ascii="宋体" w:hAnsi="宋体" w:cs="宋体"/>
          <w:color w:val="auto"/>
          <w:sz w:val="24"/>
          <w:szCs w:val="24"/>
          <w:u w:val="single"/>
          <w:lang w:eastAsia="zh-CN"/>
        </w:rPr>
        <w:t xml:space="preserve">          </w:t>
      </w:r>
      <w:r>
        <w:rPr>
          <w:rFonts w:ascii="宋体" w:hAnsi="宋体" w:cs="宋体"/>
          <w:color w:val="auto"/>
          <w:sz w:val="24"/>
          <w:szCs w:val="24"/>
          <w:lang w:eastAsia="zh-CN"/>
        </w:rPr>
        <w:t xml:space="preserve">   </w:t>
      </w:r>
    </w:p>
    <w:p>
      <w:pPr>
        <w:pStyle w:val="36"/>
        <w:spacing w:line="360" w:lineRule="auto"/>
        <w:ind w:left="-480" w:leftChars="-200" w:firstLine="0" w:firstLineChars="0"/>
        <w:rPr>
          <w:rFonts w:ascii="宋体" w:hAnsi="宋体" w:cs="宋体"/>
          <w:color w:val="auto"/>
          <w:sz w:val="24"/>
          <w:szCs w:val="24"/>
          <w:lang w:eastAsia="zh-CN"/>
        </w:rPr>
      </w:pPr>
      <w:r>
        <w:rPr>
          <w:rFonts w:ascii="宋体" w:hAnsi="宋体" w:cs="宋体"/>
          <w:color w:val="auto"/>
          <w:sz w:val="24"/>
          <w:szCs w:val="24"/>
        </w:rPr>
        <w:t>项目</w:t>
      </w:r>
      <w:r>
        <w:rPr>
          <w:rFonts w:hint="eastAsia" w:ascii="宋体" w:hAnsi="宋体" w:cs="宋体"/>
          <w:color w:val="auto"/>
          <w:sz w:val="24"/>
          <w:szCs w:val="24"/>
          <w:lang w:val="en-US" w:eastAsia="zh-CN"/>
        </w:rPr>
        <w:t>名称</w:t>
      </w:r>
      <w:r>
        <w:rPr>
          <w:rFonts w:ascii="宋体" w:hAnsi="宋体" w:cs="宋体"/>
          <w:color w:val="auto"/>
          <w:sz w:val="24"/>
          <w:szCs w:val="24"/>
        </w:rPr>
        <w:t>∶</w:t>
      </w:r>
      <w:r>
        <w:rPr>
          <w:rFonts w:ascii="宋体" w:hAnsi="宋体" w:cs="宋体"/>
          <w:color w:val="auto"/>
          <w:sz w:val="24"/>
          <w:szCs w:val="24"/>
          <w:u w:val="single"/>
        </w:rPr>
        <w:t>　　　　　　</w:t>
      </w:r>
      <w:r>
        <w:rPr>
          <w:rFonts w:ascii="宋体" w:hAnsi="宋体" w:cs="宋体"/>
          <w:color w:val="auto"/>
          <w:sz w:val="24"/>
          <w:szCs w:val="24"/>
          <w:u w:val="single"/>
          <w:lang w:eastAsia="zh-CN"/>
        </w:rPr>
        <w:t xml:space="preserve">          </w:t>
      </w:r>
      <w:r>
        <w:rPr>
          <w:rFonts w:ascii="宋体" w:hAnsi="宋体" w:cs="宋体"/>
          <w:color w:val="auto"/>
          <w:sz w:val="24"/>
          <w:szCs w:val="24"/>
          <w:lang w:eastAsia="zh-CN"/>
        </w:rPr>
        <w:t xml:space="preserve">     </w:t>
      </w:r>
    </w:p>
    <w:p>
      <w:pPr>
        <w:pStyle w:val="36"/>
        <w:spacing w:line="360" w:lineRule="auto"/>
        <w:ind w:left="-480" w:leftChars="-200" w:firstLine="0" w:firstLineChars="0"/>
        <w:rPr>
          <w:rFonts w:ascii="宋体" w:hAnsi="宋体" w:cs="宋体"/>
          <w:color w:val="auto"/>
          <w:sz w:val="24"/>
          <w:szCs w:val="24"/>
          <w:lang w:eastAsia="zh-CN"/>
        </w:rPr>
      </w:pPr>
      <w:r>
        <w:rPr>
          <w:rFonts w:ascii="宋体" w:hAnsi="宋体" w:cs="宋体"/>
          <w:color w:val="auto"/>
          <w:sz w:val="24"/>
          <w:szCs w:val="24"/>
          <w:lang w:eastAsia="zh-CN"/>
        </w:rPr>
        <w:t xml:space="preserve">      </w:t>
      </w:r>
    </w:p>
    <w:p>
      <w:pPr>
        <w:pStyle w:val="36"/>
        <w:ind w:left="-480" w:leftChars="-200" w:firstLine="0" w:firstLineChars="0"/>
        <w:rPr>
          <w:rFonts w:ascii="宋体" w:hAnsi="宋体" w:cs="宋体"/>
          <w:color w:val="auto"/>
          <w:sz w:val="24"/>
          <w:szCs w:val="24"/>
          <w:lang w:eastAsia="zh-CN"/>
        </w:rPr>
      </w:pPr>
    </w:p>
    <w:p>
      <w:pPr>
        <w:pStyle w:val="36"/>
        <w:ind w:firstLine="5280" w:firstLineChars="2200"/>
        <w:rPr>
          <w:rFonts w:ascii="宋体" w:hAnsi="宋体" w:cs="宋体"/>
          <w:color w:val="auto"/>
          <w:sz w:val="24"/>
          <w:szCs w:val="24"/>
        </w:rPr>
      </w:pPr>
      <w:r>
        <w:rPr>
          <w:rFonts w:ascii="宋体" w:hAnsi="宋体" w:cs="宋体"/>
          <w:color w:val="auto"/>
          <w:sz w:val="24"/>
          <w:szCs w:val="24"/>
        </w:rPr>
        <w:t>货币单位：元人民币</w:t>
      </w:r>
    </w:p>
    <w:p>
      <w:pPr>
        <w:pStyle w:val="36"/>
        <w:rPr>
          <w:rFonts w:ascii="宋体" w:hAnsi="宋体" w:cs="宋体"/>
          <w:color w:val="auto"/>
          <w:sz w:val="24"/>
          <w:szCs w:val="24"/>
        </w:rPr>
      </w:pPr>
    </w:p>
    <w:tbl>
      <w:tblPr>
        <w:tblStyle w:val="19"/>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2294"/>
        <w:gridCol w:w="2347"/>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85" w:type="dxa"/>
            <w:vAlign w:val="center"/>
          </w:tcPr>
          <w:p>
            <w:pPr>
              <w:spacing w:line="480" w:lineRule="exact"/>
              <w:jc w:val="cente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pPr>
            <w: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t>计费额</w:t>
            </w:r>
          </w:p>
        </w:tc>
        <w:tc>
          <w:tcPr>
            <w:tcW w:w="2294" w:type="dxa"/>
            <w:vAlign w:val="center"/>
          </w:tcPr>
          <w:p>
            <w:pPr>
              <w:shd w:val="clear" w:color="auto" w:fill="auto"/>
              <w:spacing w:line="480" w:lineRule="exact"/>
              <w:jc w:val="cente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pPr>
            <w: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t>专业调整系数</w:t>
            </w:r>
          </w:p>
        </w:tc>
        <w:tc>
          <w:tcPr>
            <w:tcW w:w="2347" w:type="dxa"/>
            <w:vAlign w:val="center"/>
          </w:tcPr>
          <w:p>
            <w:pPr>
              <w:spacing w:line="480" w:lineRule="exact"/>
              <w:jc w:val="cente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pPr>
            <w: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t>浮动幅度值</w:t>
            </w:r>
          </w:p>
        </w:tc>
        <w:tc>
          <w:tcPr>
            <w:tcW w:w="2722" w:type="dxa"/>
            <w:vAlign w:val="center"/>
          </w:tcPr>
          <w:p>
            <w:pPr>
              <w:spacing w:line="240" w:lineRule="auto"/>
              <w:jc w:val="center"/>
              <w:rPr>
                <w:rFonts w:hint="default"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pPr>
            <w:r>
              <w:rPr>
                <w:rFonts w:hint="eastAsia" w:ascii="Noto Sans Mono CJK JP Regular" w:hAnsi="Noto Sans Mono CJK JP Regular" w:cs="Noto Sans Mono CJK JP Regular"/>
                <w:color w:val="000000"/>
                <w:spacing w:val="0"/>
                <w:w w:val="100"/>
                <w:kern w:val="0"/>
                <w:position w:val="0"/>
                <w:sz w:val="20"/>
                <w:szCs w:val="20"/>
                <w:shd w:val="clear" w:color="auto" w:fill="auto"/>
                <w:lang w:val="en-US" w:eastAsia="zh-CN" w:bidi="en-US"/>
              </w:rPr>
              <w:t>预算编制报价金额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85" w:type="dxa"/>
            <w:vAlign w:val="center"/>
          </w:tcPr>
          <w:p>
            <w:pPr>
              <w:shd w:val="clear" w:color="auto" w:fill="auto"/>
              <w:spacing w:line="480" w:lineRule="exact"/>
              <w:jc w:val="center"/>
              <w:rPr>
                <w:rFonts w:hint="default"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pPr>
            <w: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t>21036万元</w:t>
            </w:r>
          </w:p>
        </w:tc>
        <w:tc>
          <w:tcPr>
            <w:tcW w:w="2294" w:type="dxa"/>
            <w:vAlign w:val="center"/>
          </w:tcPr>
          <w:p>
            <w:pPr>
              <w:shd w:val="clear" w:color="auto" w:fill="auto"/>
              <w:spacing w:line="480" w:lineRule="exact"/>
              <w:jc w:val="center"/>
              <w:rPr>
                <w:rFonts w:hint="default"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pPr>
            <w:r>
              <w:rPr>
                <w:rFonts w:hint="eastAsia" w:ascii="Noto Sans Mono CJK JP Regular" w:hAnsi="Noto Sans Mono CJK JP Regular" w:cs="Noto Sans Mono CJK JP Regular"/>
                <w:color w:val="000000"/>
                <w:spacing w:val="0"/>
                <w:w w:val="100"/>
                <w:kern w:val="0"/>
                <w:position w:val="0"/>
                <w:sz w:val="20"/>
                <w:szCs w:val="20"/>
                <w:shd w:val="clear" w:color="auto" w:fill="auto"/>
                <w:lang w:val="en-US" w:eastAsia="zh-CN" w:bidi="en-US"/>
              </w:rPr>
              <w:t>0.7</w:t>
            </w:r>
          </w:p>
        </w:tc>
        <w:tc>
          <w:tcPr>
            <w:tcW w:w="2347" w:type="dxa"/>
            <w:vAlign w:val="center"/>
          </w:tcPr>
          <w:p>
            <w:pPr>
              <w:spacing w:line="480" w:lineRule="exact"/>
              <w:jc w:val="center"/>
              <w:rPr>
                <w:rFonts w:hint="default"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pPr>
            <w:r>
              <w:rPr>
                <w:rFonts w:hint="eastAsia" w:ascii="Noto Sans Mono CJK JP Regular" w:hAnsi="Noto Sans Mono CJK JP Regular" w:cs="Noto Sans Mono CJK JP Regular"/>
                <w:color w:val="000000"/>
                <w:spacing w:val="0"/>
                <w:w w:val="100"/>
                <w:kern w:val="0"/>
                <w:position w:val="0"/>
                <w:sz w:val="20"/>
                <w:szCs w:val="20"/>
                <w:shd w:val="clear" w:color="auto" w:fill="auto"/>
                <w:lang w:val="en-US" w:eastAsia="zh-CN" w:bidi="en-US"/>
              </w:rPr>
              <w:t>－</w:t>
            </w:r>
            <w:r>
              <w:rPr>
                <w:rFonts w:hint="eastAsia" w:ascii="Noto Sans Mono CJK JP Regular" w:hAnsi="Noto Sans Mono CJK JP Regular" w:cs="Noto Sans Mono CJK JP Regular"/>
                <w:color w:val="000000"/>
                <w:spacing w:val="0"/>
                <w:w w:val="100"/>
                <w:kern w:val="0"/>
                <w:position w:val="0"/>
                <w:sz w:val="20"/>
                <w:szCs w:val="20"/>
                <w:u w:val="single"/>
                <w:shd w:val="clear" w:color="auto" w:fill="auto"/>
                <w:lang w:val="en-US" w:eastAsia="zh-CN" w:bidi="en-US"/>
              </w:rPr>
              <w:t xml:space="preserve">      </w:t>
            </w:r>
            <w:r>
              <w:rPr>
                <w:rFonts w:hint="eastAsia" w:ascii="Noto Sans Mono CJK JP Regular" w:hAnsi="Noto Sans Mono CJK JP Regular" w:cs="Noto Sans Mono CJK JP Regular"/>
                <w:color w:val="000000"/>
                <w:spacing w:val="0"/>
                <w:w w:val="100"/>
                <w:kern w:val="0"/>
                <w:position w:val="0"/>
                <w:sz w:val="20"/>
                <w:szCs w:val="20"/>
                <w:shd w:val="clear" w:color="auto" w:fill="auto"/>
                <w:lang w:val="en-US" w:eastAsia="zh-CN" w:bidi="en-US"/>
              </w:rPr>
              <w:t>%</w:t>
            </w:r>
          </w:p>
        </w:tc>
        <w:tc>
          <w:tcPr>
            <w:tcW w:w="2722" w:type="dxa"/>
            <w:vAlign w:val="center"/>
          </w:tcPr>
          <w:p>
            <w:pPr>
              <w:spacing w:line="480" w:lineRule="exact"/>
              <w:jc w:val="both"/>
              <w:rPr>
                <w:rFonts w:hint="default"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pPr>
            <w: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t xml:space="preserve"> </w:t>
            </w:r>
            <w:r>
              <w:rPr>
                <w:rFonts w:hint="eastAsia" w:ascii="Noto Sans Mono CJK JP Regular" w:hAnsi="Noto Sans Mono CJK JP Regular" w:cs="Noto Sans Mono CJK JP Regular"/>
                <w:color w:val="000000"/>
                <w:spacing w:val="0"/>
                <w:w w:val="100"/>
                <w:kern w:val="0"/>
                <w:position w:val="0"/>
                <w:sz w:val="20"/>
                <w:szCs w:val="20"/>
                <w:shd w:val="clear" w:color="auto" w:fill="auto"/>
                <w:lang w:val="en-US" w:eastAsia="zh-CN" w:bidi="en-US"/>
              </w:rPr>
              <w:t xml:space="preserve">     </w:t>
            </w:r>
            <w: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t xml:space="preserve"> </w:t>
            </w:r>
            <w:r>
              <w:rPr>
                <w:rFonts w:hint="eastAsia" w:ascii="Noto Sans Mono CJK JP Regular" w:hAnsi="Noto Sans Mono CJK JP Regular" w:eastAsia="Times New Roman" w:cs="Noto Sans Mono CJK JP Regular"/>
                <w:color w:val="000000"/>
                <w:spacing w:val="0"/>
                <w:w w:val="100"/>
                <w:kern w:val="0"/>
                <w:position w:val="0"/>
                <w:sz w:val="20"/>
                <w:szCs w:val="20"/>
                <w:u w:val="single"/>
                <w:shd w:val="clear" w:color="auto" w:fill="auto"/>
                <w:lang w:val="en-US" w:eastAsia="zh-CN" w:bidi="en-US"/>
              </w:rPr>
              <w:t xml:space="preserve">          </w:t>
            </w:r>
            <w: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48"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tLeast"/>
              <w:jc w:val="both"/>
              <w:textAlignment w:val="auto"/>
              <w:rPr>
                <w:rFonts w:hint="eastAsia"/>
                <w:sz w:val="20"/>
                <w:szCs w:val="20"/>
                <w:lang w:val="en-US" w:eastAsia="zh-CN"/>
              </w:rPr>
            </w:pPr>
            <w:r>
              <w:rPr>
                <w:rFonts w:hint="eastAsia"/>
                <w:sz w:val="20"/>
                <w:szCs w:val="20"/>
                <w:lang w:val="en-US" w:eastAsia="zh-CN"/>
              </w:rPr>
              <w:t>注：</w:t>
            </w:r>
          </w:p>
          <w:p>
            <w:pPr>
              <w:keepNext w:val="0"/>
              <w:keepLines w:val="0"/>
              <w:pageBreakBefore w:val="0"/>
              <w:widowControl w:val="0"/>
              <w:shd w:val="clear" w:color="auto" w:fill="auto"/>
              <w:kinsoku/>
              <w:wordWrap/>
              <w:overflowPunct/>
              <w:topLinePunct w:val="0"/>
              <w:autoSpaceDE/>
              <w:autoSpaceDN/>
              <w:bidi w:val="0"/>
              <w:adjustRightInd/>
              <w:snapToGrid/>
              <w:spacing w:line="240" w:lineRule="atLeast"/>
              <w:jc w:val="both"/>
              <w:textAlignment w:val="auto"/>
              <w:rPr>
                <w:rFonts w:hint="eastAsia"/>
                <w:sz w:val="20"/>
                <w:szCs w:val="20"/>
                <w:lang w:val="en-US" w:eastAsia="zh-CN"/>
              </w:rPr>
            </w:pPr>
            <w:r>
              <w:rPr>
                <w:rFonts w:hint="eastAsia"/>
                <w:sz w:val="20"/>
                <w:szCs w:val="20"/>
                <w:lang w:val="en-US" w:eastAsia="zh-CN"/>
              </w:rPr>
              <w:t>1、本项目最高限价的浮动幅度值为-30%。供应商</w:t>
            </w:r>
            <w:r>
              <w:rPr>
                <w:rFonts w:hint="eastAsia" w:ascii="Times New Roman" w:hAnsi="Times New Roman" w:eastAsia="Times New Roman" w:cs="Times New Roman"/>
                <w:sz w:val="20"/>
                <w:szCs w:val="20"/>
                <w:lang w:val="en-US" w:eastAsia="zh-CN"/>
              </w:rPr>
              <w:t>在报价表中须</w:t>
            </w:r>
            <w:r>
              <w:rPr>
                <w:rFonts w:hint="eastAsia"/>
                <w:sz w:val="20"/>
                <w:szCs w:val="20"/>
                <w:lang w:val="en-US" w:eastAsia="zh-CN"/>
              </w:rPr>
              <w:t>写明报价的浮动幅度值（按百分数表示的浮动幅度值小数点后保留2位，须标明“-”，例“-32.47%”），并根据下述计算程序计算出相应预算编制服务费报价</w:t>
            </w:r>
            <w:r>
              <w:rPr>
                <w:rFonts w:hint="eastAsia" w:ascii="Noto Sans Mono CJK JP Regular" w:hAnsi="Noto Sans Mono CJK JP Regular" w:cs="Noto Sans Mono CJK JP Regular"/>
                <w:color w:val="000000"/>
                <w:spacing w:val="0"/>
                <w:w w:val="100"/>
                <w:kern w:val="0"/>
                <w:position w:val="0"/>
                <w:sz w:val="20"/>
                <w:szCs w:val="20"/>
                <w:shd w:val="clear" w:color="auto" w:fill="auto"/>
                <w:lang w:val="en-US" w:eastAsia="zh-CN" w:bidi="en-US"/>
              </w:rPr>
              <w:t>金额</w:t>
            </w:r>
            <w:r>
              <w:rPr>
                <w:rFonts w:hint="eastAsia"/>
                <w:sz w:val="20"/>
                <w:szCs w:val="20"/>
                <w:lang w:val="en-US" w:eastAsia="zh-CN"/>
              </w:rPr>
              <w:t>。供应商报价</w:t>
            </w:r>
            <w:r>
              <w:rPr>
                <w:rFonts w:hint="eastAsia" w:ascii="Noto Sans Mono CJK JP Regular" w:hAnsi="Noto Sans Mono CJK JP Regular" w:cs="Noto Sans Mono CJK JP Regular"/>
                <w:color w:val="000000"/>
                <w:spacing w:val="0"/>
                <w:w w:val="100"/>
                <w:kern w:val="0"/>
                <w:position w:val="0"/>
                <w:sz w:val="20"/>
                <w:szCs w:val="20"/>
                <w:shd w:val="clear" w:color="auto" w:fill="auto"/>
                <w:lang w:val="en-US" w:eastAsia="zh-CN" w:bidi="en-US"/>
              </w:rPr>
              <w:t>金额</w:t>
            </w:r>
            <w:r>
              <w:rPr>
                <w:rFonts w:hint="eastAsia"/>
                <w:sz w:val="20"/>
                <w:szCs w:val="20"/>
                <w:lang w:val="en-US" w:eastAsia="zh-CN"/>
              </w:rPr>
              <w:t>超出最高限价将导致报价无效。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tLeast"/>
              <w:jc w:val="both"/>
              <w:textAlignment w:val="auto"/>
              <w:rPr>
                <w:rFonts w:hint="eastAsia"/>
                <w:sz w:val="20"/>
                <w:szCs w:val="20"/>
                <w:lang w:val="en-US" w:eastAsia="zh-CN"/>
              </w:rPr>
            </w:pPr>
            <w:r>
              <w:rPr>
                <w:rFonts w:hint="eastAsia"/>
                <w:sz w:val="20"/>
                <w:szCs w:val="20"/>
                <w:lang w:val="en-US" w:eastAsia="zh-CN"/>
              </w:rPr>
              <w:t>2、本项目工程预算编制服务费参</w:t>
            </w:r>
            <w:r>
              <w:rPr>
                <w:rFonts w:hint="eastAsia" w:ascii="Times New Roman" w:hAnsi="Times New Roman" w:eastAsia="Times New Roman" w:cs="Times New Roman"/>
                <w:sz w:val="20"/>
                <w:szCs w:val="20"/>
                <w:lang w:val="en-US" w:eastAsia="zh-CN"/>
              </w:rPr>
              <w:t>考《关于招标代理、工程造价咨询行业服务收费的指导意见》( 闽招协 [2021] 32 号)计取。计费额暂按</w:t>
            </w:r>
            <w:r>
              <w:rPr>
                <w:rFonts w:hint="eastAsia" w:ascii="Noto Sans Mono CJK JP Regular" w:hAnsi="Noto Sans Mono CJK JP Regular" w:eastAsia="Times New Roman" w:cs="Noto Sans Mono CJK JP Regular"/>
                <w:color w:val="000000"/>
                <w:spacing w:val="0"/>
                <w:w w:val="100"/>
                <w:kern w:val="0"/>
                <w:position w:val="0"/>
                <w:sz w:val="20"/>
                <w:szCs w:val="20"/>
                <w:shd w:val="clear" w:color="auto" w:fill="auto"/>
                <w:lang w:val="en-US" w:eastAsia="zh-CN" w:bidi="en-US"/>
              </w:rPr>
              <w:t>21036</w:t>
            </w:r>
            <w:r>
              <w:rPr>
                <w:rFonts w:hint="eastAsia" w:ascii="Times New Roman" w:hAnsi="Times New Roman" w:eastAsia="Times New Roman" w:cs="Times New Roman"/>
                <w:sz w:val="20"/>
                <w:szCs w:val="20"/>
                <w:lang w:val="en-US" w:eastAsia="zh-CN"/>
              </w:rPr>
              <w:t>万元计算。最终</w:t>
            </w:r>
            <w:r>
              <w:rPr>
                <w:rFonts w:hint="eastAsia" w:cs="Times New Roman"/>
                <w:sz w:val="20"/>
                <w:szCs w:val="20"/>
                <w:lang w:val="en-US" w:eastAsia="zh-CN"/>
              </w:rPr>
              <w:t>预</w:t>
            </w:r>
            <w:r>
              <w:rPr>
                <w:rFonts w:hint="eastAsia" w:ascii="Times New Roman" w:hAnsi="Times New Roman" w:eastAsia="Times New Roman" w:cs="Times New Roman"/>
                <w:sz w:val="20"/>
                <w:szCs w:val="20"/>
                <w:lang w:val="en-US" w:eastAsia="zh-CN"/>
              </w:rPr>
              <w:t>算编制费以预算书的工程造价作为计费基数重新计取，根据下述计算程序结合成交报价的浮动幅度</w:t>
            </w:r>
            <w:r>
              <w:rPr>
                <w:rFonts w:hint="eastAsia"/>
                <w:sz w:val="20"/>
                <w:szCs w:val="20"/>
                <w:highlight w:val="none"/>
                <w:lang w:val="en-US" w:eastAsia="zh-CN"/>
              </w:rPr>
              <w:t>值计算本项目</w:t>
            </w:r>
            <w:r>
              <w:rPr>
                <w:rFonts w:hint="eastAsia"/>
                <w:sz w:val="20"/>
                <w:szCs w:val="20"/>
                <w:lang w:val="en-US" w:eastAsia="zh-CN"/>
              </w:rPr>
              <w:t>预算编制费</w:t>
            </w:r>
            <w:r>
              <w:rPr>
                <w:rFonts w:hint="eastAsia"/>
                <w:sz w:val="20"/>
                <w:szCs w:val="20"/>
                <w:highlight w:val="none"/>
                <w:lang w:val="en-US" w:eastAsia="zh-CN"/>
              </w:rPr>
              <w:t>的结算价。</w:t>
            </w:r>
          </w:p>
          <w:p>
            <w:pPr>
              <w:pStyle w:val="10"/>
              <w:ind w:firstLine="400" w:firstLineChars="200"/>
              <w:rPr>
                <w:rFonts w:hint="default"/>
                <w:b/>
                <w:bCs/>
                <w:lang w:val="en-US" w:eastAsia="zh-CN"/>
              </w:rPr>
            </w:pPr>
            <w:r>
              <w:rPr>
                <w:rFonts w:hint="eastAsia"/>
                <w:b/>
                <w:bCs/>
                <w:sz w:val="20"/>
                <w:szCs w:val="20"/>
                <w:lang w:val="en-US" w:eastAsia="zh-CN"/>
              </w:rPr>
              <w:t>计算程序：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tLeast"/>
              <w:jc w:val="both"/>
              <w:textAlignment w:val="auto"/>
              <w:rPr>
                <w:rFonts w:hint="default"/>
                <w:sz w:val="20"/>
                <w:szCs w:val="20"/>
                <w:lang w:val="en-US" w:eastAsia="zh-CN"/>
              </w:rPr>
            </w:pPr>
            <w:r>
              <w:rPr>
                <w:rFonts w:hint="eastAsia"/>
                <w:sz w:val="20"/>
                <w:szCs w:val="20"/>
                <w:lang w:val="en-US" w:eastAsia="zh-CN"/>
              </w:rPr>
              <w:t>预算编制费基价＝2.5＋2.3＋16.8＋20＋41.9368＝83.5368万元</w:t>
            </w:r>
          </w:p>
          <w:p>
            <w:pPr>
              <w:keepNext w:val="0"/>
              <w:keepLines w:val="0"/>
              <w:pageBreakBefore w:val="0"/>
              <w:widowControl w:val="0"/>
              <w:shd w:val="clear" w:color="auto" w:fill="auto"/>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sz w:val="20"/>
                <w:szCs w:val="20"/>
                <w:lang w:val="en-US" w:eastAsia="zh-CN"/>
              </w:rPr>
              <w:t>预算编制费 = 预算编制费基价×专业调整系数×浮动幅度值</w:t>
            </w:r>
          </w:p>
        </w:tc>
      </w:tr>
    </w:tbl>
    <w:p>
      <w:pPr>
        <w:pStyle w:val="36"/>
        <w:ind w:firstLine="480"/>
        <w:jc w:val="center"/>
        <w:rPr>
          <w:rFonts w:ascii="宋体" w:hAnsi="宋体" w:cs="宋体"/>
          <w:color w:val="auto"/>
          <w:sz w:val="24"/>
          <w:szCs w:val="24"/>
        </w:rPr>
      </w:pPr>
    </w:p>
    <w:p>
      <w:pPr>
        <w:pStyle w:val="36"/>
        <w:ind w:firstLine="480"/>
        <w:jc w:val="center"/>
        <w:rPr>
          <w:rFonts w:ascii="宋体" w:hAnsi="宋体" w:cs="宋体"/>
          <w:color w:val="auto"/>
          <w:sz w:val="24"/>
          <w:szCs w:val="24"/>
        </w:rPr>
      </w:pPr>
    </w:p>
    <w:p>
      <w:pPr>
        <w:pStyle w:val="36"/>
        <w:ind w:firstLine="480"/>
        <w:jc w:val="center"/>
        <w:rPr>
          <w:rFonts w:ascii="宋体" w:hAnsi="宋体" w:cs="宋体"/>
          <w:color w:val="auto"/>
          <w:sz w:val="24"/>
          <w:szCs w:val="24"/>
        </w:rPr>
      </w:pPr>
    </w:p>
    <w:p>
      <w:pPr>
        <w:pStyle w:val="36"/>
        <w:ind w:firstLine="480"/>
        <w:jc w:val="center"/>
        <w:rPr>
          <w:rFonts w:ascii="宋体" w:hAnsi="宋体" w:cs="宋体"/>
          <w:color w:val="auto"/>
          <w:sz w:val="24"/>
          <w:szCs w:val="24"/>
        </w:rPr>
      </w:pPr>
    </w:p>
    <w:p>
      <w:pPr>
        <w:pStyle w:val="36"/>
        <w:ind w:firstLine="480"/>
        <w:jc w:val="center"/>
        <w:rPr>
          <w:rFonts w:ascii="宋体" w:hAnsi="宋体" w:cs="宋体"/>
          <w:color w:val="auto"/>
          <w:sz w:val="24"/>
          <w:szCs w:val="24"/>
        </w:rPr>
      </w:pPr>
    </w:p>
    <w:p>
      <w:pPr>
        <w:pStyle w:val="36"/>
        <w:ind w:firstLine="480"/>
        <w:jc w:val="center"/>
        <w:rPr>
          <w:rFonts w:ascii="宋体" w:hAnsi="宋体" w:cs="宋体"/>
          <w:color w:val="auto"/>
          <w:sz w:val="24"/>
          <w:szCs w:val="24"/>
        </w:rPr>
      </w:pPr>
    </w:p>
    <w:p>
      <w:pPr>
        <w:pStyle w:val="36"/>
        <w:ind w:firstLine="480"/>
        <w:jc w:val="center"/>
        <w:rPr>
          <w:rFonts w:ascii="宋体" w:hAnsi="宋体" w:cs="宋体"/>
          <w:color w:val="auto"/>
          <w:sz w:val="24"/>
          <w:szCs w:val="24"/>
        </w:rPr>
      </w:pPr>
    </w:p>
    <w:p>
      <w:pPr>
        <w:pStyle w:val="36"/>
        <w:ind w:firstLine="480"/>
        <w:jc w:val="center"/>
        <w:rPr>
          <w:rFonts w:ascii="宋体" w:hAnsi="宋体" w:cs="宋体"/>
          <w:color w:val="auto"/>
          <w:sz w:val="24"/>
          <w:szCs w:val="24"/>
        </w:rPr>
      </w:pPr>
    </w:p>
    <w:p>
      <w:pPr>
        <w:pStyle w:val="36"/>
        <w:ind w:firstLine="480"/>
        <w:jc w:val="center"/>
        <w:rPr>
          <w:rFonts w:ascii="宋体" w:hAnsi="宋体" w:cs="宋体"/>
          <w:color w:val="auto"/>
          <w:sz w:val="24"/>
          <w:szCs w:val="24"/>
        </w:rPr>
      </w:pPr>
    </w:p>
    <w:p>
      <w:pPr>
        <w:spacing w:line="460" w:lineRule="exact"/>
        <w:ind w:right="146" w:rightChars="0"/>
        <w:jc w:val="right"/>
        <w:rPr>
          <w:rFonts w:hint="eastAsia" w:ascii="宋体" w:hAnsi="宋体" w:cs="宋体"/>
          <w:kern w:val="2"/>
          <w:sz w:val="24"/>
        </w:rPr>
      </w:pPr>
      <w:r>
        <w:rPr>
          <w:rFonts w:hint="eastAsia" w:ascii="宋体" w:hAnsi="宋体" w:eastAsia="宋体" w:cs="宋体"/>
          <w:kern w:val="2"/>
          <w:sz w:val="24"/>
          <w:lang w:val="en-US" w:eastAsia="zh-CN"/>
        </w:rPr>
        <w:t>供应商</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（盖单位公章）</w:t>
      </w:r>
    </w:p>
    <w:p>
      <w:pPr>
        <w:pStyle w:val="36"/>
        <w:ind w:firstLine="480"/>
        <w:jc w:val="right"/>
        <w:rPr>
          <w:rFonts w:ascii="宋体" w:hAnsi="宋体" w:cs="宋体"/>
          <w:color w:val="auto"/>
          <w:sz w:val="24"/>
          <w:szCs w:val="24"/>
        </w:rPr>
      </w:pPr>
    </w:p>
    <w:p>
      <w:pPr>
        <w:spacing w:line="460" w:lineRule="exact"/>
        <w:ind w:right="146" w:rightChars="0"/>
        <w:jc w:val="right"/>
        <w:rPr>
          <w:rFonts w:hint="eastAsia" w:ascii="宋体" w:hAnsi="宋体" w:cs="宋体"/>
          <w:kern w:val="2"/>
          <w:sz w:val="24"/>
        </w:rPr>
      </w:pPr>
      <w:r>
        <w:rPr>
          <w:rFonts w:hint="eastAsia" w:ascii="宋体" w:hAnsi="宋体" w:cs="宋体"/>
          <w:kern w:val="2"/>
          <w:sz w:val="24"/>
        </w:rPr>
        <w:t>法定代表人或</w:t>
      </w:r>
      <w:r>
        <w:rPr>
          <w:rFonts w:hint="eastAsia" w:ascii="宋体" w:hAnsi="宋体" w:eastAsia="宋体" w:cs="宋体"/>
          <w:kern w:val="2"/>
          <w:sz w:val="24"/>
          <w:lang w:val="en-US" w:eastAsia="zh-CN"/>
        </w:rPr>
        <w:t>供应商代表</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w:t>
      </w:r>
      <w:r>
        <w:rPr>
          <w:rFonts w:hint="eastAsia" w:ascii="宋体" w:hAnsi="宋体" w:eastAsia="宋体" w:cs="宋体"/>
          <w:kern w:val="2"/>
          <w:sz w:val="24"/>
          <w:lang w:val="en-US" w:eastAsia="zh-CN"/>
        </w:rPr>
        <w:t>签字或</w:t>
      </w:r>
      <w:r>
        <w:rPr>
          <w:rFonts w:hint="eastAsia" w:ascii="宋体" w:hAnsi="宋体" w:cs="宋体"/>
          <w:kern w:val="2"/>
          <w:sz w:val="24"/>
        </w:rPr>
        <w:t>盖章）</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sectPr>
          <w:headerReference r:id="rId13" w:type="default"/>
          <w:footerReference r:id="rId14" w:type="default"/>
          <w:footnotePr>
            <w:numFmt w:val="decimal"/>
          </w:footnotePr>
          <w:pgSz w:w="11900" w:h="16840"/>
          <w:pgMar w:top="1440" w:right="1800" w:bottom="1440" w:left="1800" w:header="1661" w:footer="1661" w:gutter="0"/>
          <w:pgNumType w:fmt="decimal"/>
          <w:cols w:space="720" w:num="1"/>
          <w:rtlGutter w:val="0"/>
          <w:docGrid w:linePitch="360"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rPr>
      </w:pPr>
      <w:bookmarkStart w:id="811" w:name="bookmark625"/>
      <w:bookmarkStart w:id="812" w:name="bookmark626"/>
      <w:bookmarkStart w:id="813" w:name="_Toc17015"/>
      <w:bookmarkStart w:id="814" w:name="bookmark624"/>
      <w:bookmarkStart w:id="815" w:name="_Toc28030"/>
      <w:bookmarkStart w:id="816" w:name="bookmark623"/>
      <w:r>
        <w:rPr>
          <w:rFonts w:hint="eastAsia" w:ascii="宋体" w:hAnsi="宋体" w:eastAsia="宋体" w:cs="宋体"/>
          <w:sz w:val="28"/>
          <w:szCs w:val="28"/>
        </w:rPr>
        <w:t>七</w:t>
      </w:r>
      <w:bookmarkEnd w:id="811"/>
      <w:r>
        <w:rPr>
          <w:rFonts w:hint="eastAsia" w:ascii="宋体" w:hAnsi="宋体" w:eastAsia="宋体" w:cs="宋体"/>
          <w:sz w:val="28"/>
          <w:szCs w:val="28"/>
        </w:rPr>
        <w:t>、资格审查资料</w:t>
      </w:r>
      <w:bookmarkEnd w:id="812"/>
      <w:bookmarkEnd w:id="813"/>
      <w:bookmarkEnd w:id="814"/>
      <w:bookmarkEnd w:id="815"/>
      <w:bookmarkEnd w:id="816"/>
    </w:p>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center"/>
        <w:textAlignment w:val="auto"/>
        <w:outlineLvl w:val="1"/>
        <w:rPr>
          <w:rFonts w:hint="eastAsia" w:ascii="宋体" w:hAnsi="宋体" w:eastAsia="宋体" w:cs="宋体"/>
          <w:sz w:val="24"/>
          <w:szCs w:val="24"/>
        </w:rPr>
      </w:pPr>
      <w:bookmarkStart w:id="817" w:name="bookmark629"/>
      <w:bookmarkEnd w:id="817"/>
      <w:bookmarkStart w:id="818" w:name="bookmark667"/>
      <w:bookmarkEnd w:id="818"/>
      <w:bookmarkStart w:id="819" w:name="_Toc13062"/>
      <w:bookmarkStart w:id="820" w:name="bookmark668"/>
      <w:bookmarkStart w:id="821" w:name="_Toc22285"/>
      <w:bookmarkStart w:id="822" w:name="_Toc26450"/>
      <w:bookmarkStart w:id="823" w:name="_Toc26913"/>
      <w:bookmarkStart w:id="824" w:name="bookmark666"/>
      <w:bookmarkStart w:id="825" w:name="_Toc15750"/>
      <w:bookmarkStart w:id="826" w:name="bookmark665"/>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基本情况</w:t>
      </w:r>
      <w:bookmarkEnd w:id="819"/>
      <w:bookmarkEnd w:id="820"/>
      <w:bookmarkEnd w:id="821"/>
      <w:bookmarkEnd w:id="822"/>
      <w:bookmarkEnd w:id="823"/>
      <w:bookmarkEnd w:id="824"/>
      <w:bookmarkEnd w:id="825"/>
      <w:bookmarkEnd w:id="826"/>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供应商应根据供应商须知前附表第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5(1)项和第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5(2)项的要求提供主体资格证明及相关资质证明材料。</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供应商还应根据供应商须知前附表第</w:t>
      </w:r>
      <w:r>
        <w:rPr>
          <w:rFonts w:hint="eastAsia" w:ascii="宋体" w:hAnsi="宋体" w:eastAsia="宋体" w:cs="宋体"/>
          <w:color w:val="000000"/>
          <w:spacing w:val="0"/>
          <w:w w:val="100"/>
          <w:position w:val="0"/>
          <w:sz w:val="24"/>
          <w:szCs w:val="24"/>
          <w:lang w:val="en-US" w:eastAsia="en-US" w:bidi="en-US"/>
        </w:rPr>
        <w:t>3.5</w:t>
      </w:r>
      <w:r>
        <w:rPr>
          <w:rFonts w:hint="eastAsia" w:ascii="宋体" w:hAnsi="宋体" w:eastAsia="宋体" w:cs="宋体"/>
          <w:color w:val="000000"/>
          <w:spacing w:val="0"/>
          <w:w w:val="100"/>
          <w:position w:val="0"/>
          <w:sz w:val="24"/>
          <w:szCs w:val="24"/>
        </w:rPr>
        <w:t>(5)项、第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5(7)项和第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5(8)项的要求提供其他相关证明材料。</w:t>
      </w:r>
    </w:p>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center"/>
        <w:textAlignment w:val="auto"/>
        <w:outlineLvl w:val="1"/>
        <w:rPr>
          <w:rFonts w:hint="eastAsia" w:ascii="宋体" w:hAnsi="宋体" w:eastAsia="宋体" w:cs="宋体"/>
          <w:sz w:val="24"/>
          <w:szCs w:val="24"/>
        </w:rPr>
      </w:pPr>
      <w:bookmarkStart w:id="827" w:name="bookmark671"/>
      <w:bookmarkEnd w:id="827"/>
      <w:bookmarkStart w:id="828" w:name="_Toc1460"/>
      <w:bookmarkStart w:id="829" w:name="bookmark670"/>
      <w:bookmarkStart w:id="830" w:name="bookmark669"/>
      <w:bookmarkStart w:id="831" w:name="_Toc10113"/>
      <w:bookmarkStart w:id="832" w:name="bookmark672"/>
      <w:bookmarkStart w:id="833" w:name="_Toc20633"/>
      <w:bookmarkStart w:id="834" w:name="_Toc14139"/>
      <w:bookmarkStart w:id="835" w:name="_Toc14112"/>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近年财务状况</w:t>
      </w:r>
      <w:bookmarkEnd w:id="828"/>
      <w:bookmarkEnd w:id="829"/>
      <w:bookmarkEnd w:id="830"/>
      <w:bookmarkEnd w:id="831"/>
      <w:bookmarkEnd w:id="832"/>
      <w:bookmarkEnd w:id="833"/>
      <w:bookmarkEnd w:id="834"/>
      <w:bookmarkEnd w:id="835"/>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供应商应根据供应商须知前附表第</w:t>
      </w:r>
      <w:r>
        <w:rPr>
          <w:rFonts w:hint="eastAsia" w:ascii="宋体" w:hAnsi="宋体" w:eastAsia="宋体" w:cs="宋体"/>
          <w:color w:val="000000"/>
          <w:spacing w:val="0"/>
          <w:w w:val="100"/>
          <w:position w:val="0"/>
          <w:sz w:val="24"/>
          <w:szCs w:val="24"/>
          <w:lang w:val="en-US" w:eastAsia="en-US" w:bidi="en-US"/>
        </w:rPr>
        <w:t>3.5</w:t>
      </w:r>
      <w:r>
        <w:rPr>
          <w:rFonts w:hint="eastAsia" w:ascii="宋体" w:hAnsi="宋体" w:eastAsia="宋体" w:cs="宋体"/>
          <w:color w:val="000000"/>
          <w:spacing w:val="0"/>
          <w:w w:val="100"/>
          <w:position w:val="0"/>
          <w:sz w:val="24"/>
          <w:szCs w:val="24"/>
        </w:rPr>
        <w:t>(3)项的要求提供</w:t>
      </w:r>
      <w:r>
        <w:rPr>
          <w:rFonts w:hint="eastAsia" w:cs="宋体"/>
          <w:color w:val="000000"/>
          <w:spacing w:val="0"/>
          <w:w w:val="100"/>
          <w:position w:val="0"/>
          <w:sz w:val="24"/>
          <w:szCs w:val="24"/>
          <w:lang w:val="en-US" w:eastAsia="zh-CN"/>
        </w:rPr>
        <w:t>相关</w:t>
      </w:r>
      <w:r>
        <w:rPr>
          <w:rFonts w:hint="eastAsia" w:ascii="宋体" w:hAnsi="宋体" w:eastAsia="宋体" w:cs="宋体"/>
          <w:color w:val="000000"/>
          <w:spacing w:val="0"/>
          <w:w w:val="100"/>
          <w:position w:val="0"/>
          <w:sz w:val="24"/>
          <w:szCs w:val="24"/>
        </w:rPr>
        <w:t>证明材料。</w:t>
      </w:r>
    </w:p>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center"/>
        <w:textAlignment w:val="auto"/>
        <w:outlineLvl w:val="1"/>
        <w:rPr>
          <w:rFonts w:hint="eastAsia" w:ascii="宋体" w:hAnsi="宋体" w:eastAsia="宋体" w:cs="宋体"/>
          <w:sz w:val="24"/>
          <w:szCs w:val="24"/>
        </w:rPr>
      </w:pPr>
      <w:bookmarkStart w:id="836" w:name="bookmark675"/>
      <w:bookmarkEnd w:id="836"/>
      <w:bookmarkStart w:id="837" w:name="bookmark674"/>
      <w:bookmarkStart w:id="838" w:name="bookmark676"/>
      <w:bookmarkStart w:id="839" w:name="_Toc25759"/>
      <w:bookmarkStart w:id="840" w:name="_Toc27892"/>
      <w:bookmarkStart w:id="841" w:name="_Toc11468"/>
      <w:bookmarkStart w:id="842" w:name="bookmark673"/>
      <w:bookmarkStart w:id="843" w:name="_Toc22341"/>
      <w:bookmarkStart w:id="844" w:name="_Toc14678"/>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近年的类似项目情况表</w:t>
      </w:r>
      <w:bookmarkEnd w:id="837"/>
      <w:bookmarkEnd w:id="838"/>
      <w:bookmarkEnd w:id="839"/>
      <w:bookmarkEnd w:id="840"/>
      <w:bookmarkEnd w:id="841"/>
      <w:bookmarkEnd w:id="842"/>
      <w:bookmarkEnd w:id="843"/>
      <w:bookmarkEnd w:id="844"/>
    </w:p>
    <w:tbl>
      <w:tblPr>
        <w:tblStyle w:val="19"/>
        <w:tblW w:w="0" w:type="auto"/>
        <w:jc w:val="center"/>
        <w:tblLayout w:type="fixed"/>
        <w:tblCellMar>
          <w:top w:w="0" w:type="dxa"/>
          <w:left w:w="10" w:type="dxa"/>
          <w:bottom w:w="0" w:type="dxa"/>
          <w:right w:w="10" w:type="dxa"/>
        </w:tblCellMar>
      </w:tblPr>
      <w:tblGrid>
        <w:gridCol w:w="2270"/>
        <w:gridCol w:w="6787"/>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项目名称</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394"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服务内容</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委托人/发包人名称</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委托人/发包人联系人及电话</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合同价格</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394"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服务是否完成</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项目负责人(如有)</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1704" w:hRule="exact"/>
          <w:jc w:val="center"/>
        </w:trPr>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项目概况及供应商履约情况</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bottom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注：供应商应根据供应商须知前附表第</w:t>
      </w:r>
      <w:r>
        <w:rPr>
          <w:rFonts w:hint="eastAsia" w:ascii="宋体" w:hAnsi="宋体" w:eastAsia="宋体" w:cs="宋体"/>
          <w:sz w:val="18"/>
          <w:szCs w:val="18"/>
          <w:lang w:val="en-US" w:eastAsia="zh-CN"/>
        </w:rPr>
        <w:t>3.5（4）项的要求在本表后附相关证明材料。</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845" w:name="_Toc8491"/>
      <w:bookmarkStart w:id="846" w:name="_Toc7170"/>
      <w:bookmarkStart w:id="847" w:name="_Toc12636"/>
      <w:bookmarkStart w:id="848" w:name="_Toc17478"/>
      <w:bookmarkStart w:id="849" w:name="_Toc13896"/>
      <w:r>
        <w:rPr>
          <w:rFonts w:hint="eastAsia" w:ascii="宋体" w:hAnsi="宋体" w:eastAsia="宋体" w:cs="宋体"/>
          <w:sz w:val="24"/>
          <w:szCs w:val="24"/>
          <w:lang w:eastAsia="zh-CN"/>
        </w:rPr>
        <w:t>（四）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拟委任的主要人员汇总表</w:t>
      </w:r>
      <w:bookmarkEnd w:id="845"/>
      <w:bookmarkEnd w:id="846"/>
      <w:bookmarkEnd w:id="847"/>
      <w:bookmarkEnd w:id="848"/>
      <w:bookmarkEnd w:id="849"/>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vMerge w:val="restart"/>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vMerge w:val="restart"/>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本项目任职</w:t>
            </w:r>
          </w:p>
        </w:tc>
        <w:tc>
          <w:tcPr>
            <w:vMerge w:val="restart"/>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姓名</w:t>
            </w:r>
          </w:p>
        </w:tc>
        <w:tc>
          <w:tcPr>
            <w:vMerge w:val="restart"/>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职称</w:t>
            </w:r>
          </w:p>
        </w:tc>
        <w:tc>
          <w:tcPr>
            <w:vMerge w:val="restart"/>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专业</w:t>
            </w:r>
          </w:p>
        </w:tc>
        <w:tc>
          <w:tcPr>
            <w:gridSpan w:val="3"/>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执业或职业资格证明</w:t>
            </w:r>
          </w:p>
        </w:tc>
        <w:tc>
          <w:tcPr>
            <w:vMerge w:val="restart"/>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证书名称</w:t>
            </w:r>
          </w:p>
        </w:tc>
        <w:tc>
          <w:tcPr>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级别</w:t>
            </w:r>
          </w:p>
        </w:tc>
        <w:tc>
          <w:tcPr>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证号</w:t>
            </w: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rPr>
      </w:pPr>
      <w:r>
        <w:rPr>
          <w:rFonts w:hint="eastAsia" w:ascii="宋体" w:hAnsi="宋体" w:eastAsia="宋体" w:cs="宋体"/>
          <w:sz w:val="18"/>
          <w:szCs w:val="18"/>
          <w:lang w:val="en-US" w:eastAsia="zh-CN"/>
        </w:rPr>
        <w:br w:type="page"/>
      </w:r>
      <w:bookmarkStart w:id="850" w:name="_Toc28771"/>
      <w:bookmarkStart w:id="851" w:name="_Toc10676"/>
      <w:bookmarkStart w:id="852" w:name="_Toc29138"/>
      <w:bookmarkStart w:id="853" w:name="_Toc8878"/>
      <w:bookmarkStart w:id="854" w:name="_Toc17691"/>
      <w:r>
        <w:rPr>
          <w:rFonts w:hint="eastAsia" w:ascii="宋体" w:hAnsi="宋体" w:eastAsia="宋体" w:cs="宋体"/>
          <w:sz w:val="24"/>
          <w:szCs w:val="24"/>
          <w:lang w:eastAsia="zh-CN"/>
        </w:rPr>
        <w:t>（五）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主要人员简历表</w:t>
      </w:r>
      <w:bookmarkEnd w:id="850"/>
      <w:bookmarkEnd w:id="851"/>
      <w:bookmarkEnd w:id="852"/>
      <w:bookmarkEnd w:id="853"/>
      <w:bookmarkEnd w:id="854"/>
    </w:p>
    <w:tbl>
      <w:tblPr>
        <w:tblStyle w:val="19"/>
        <w:tblW w:w="0" w:type="auto"/>
        <w:jc w:val="center"/>
        <w:tblLayout w:type="fixed"/>
        <w:tblCellMar>
          <w:top w:w="0" w:type="dxa"/>
          <w:left w:w="10" w:type="dxa"/>
          <w:bottom w:w="0" w:type="dxa"/>
          <w:right w:w="10" w:type="dxa"/>
        </w:tblCellMar>
      </w:tblPr>
      <w:tblGrid>
        <w:gridCol w:w="1205"/>
        <w:gridCol w:w="346"/>
        <w:gridCol w:w="696"/>
        <w:gridCol w:w="960"/>
        <w:gridCol w:w="1056"/>
        <w:gridCol w:w="691"/>
        <w:gridCol w:w="1258"/>
        <w:gridCol w:w="408"/>
        <w:gridCol w:w="2438"/>
      </w:tblGrid>
      <w:tr>
        <w:tblPrEx>
          <w:tblCellMar>
            <w:top w:w="0" w:type="dxa"/>
            <w:left w:w="10" w:type="dxa"/>
            <w:bottom w:w="0" w:type="dxa"/>
            <w:right w:w="10" w:type="dxa"/>
          </w:tblCellMar>
        </w:tblPrEx>
        <w:trPr>
          <w:trHeight w:val="878" w:hRule="exact"/>
          <w:jc w:val="center"/>
        </w:trPr>
        <w:tc>
          <w:tcPr>
            <w:tcW w:w="1205"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姓名</w:t>
            </w:r>
          </w:p>
        </w:tc>
        <w:tc>
          <w:tcPr>
            <w:gridSpan w:val="2"/>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年龄</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执业或职业</w:t>
            </w:r>
          </w:p>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资格证书名称</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74" w:hRule="exact"/>
          <w:jc w:val="center"/>
        </w:trPr>
        <w:tc>
          <w:tcPr>
            <w:tcW w:w="1205"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职称</w:t>
            </w:r>
          </w:p>
        </w:tc>
        <w:tc>
          <w:tcPr>
            <w:gridSpan w:val="2"/>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学历</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拟在本项目任职</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78" w:hRule="exact"/>
          <w:jc w:val="center"/>
        </w:trPr>
        <w:tc>
          <w:tcPr>
            <w:tcW w:w="1205"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工作年限</w:t>
            </w:r>
          </w:p>
        </w:tc>
        <w:tc>
          <w:tcPr>
            <w:gridSpan w:val="4"/>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从事类似工作年限</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74" w:hRule="exact"/>
          <w:jc w:val="center"/>
        </w:trPr>
        <w:tc>
          <w:tcPr>
            <w:tcW w:w="1205" w:type="dxa"/>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毕业学校</w:t>
            </w:r>
          </w:p>
        </w:tc>
        <w:tc>
          <w:tcPr>
            <w:gridSpan w:val="8"/>
            <w:tcBorders>
              <w:top w:val="single" w:color="auto" w:sz="4" w:space="0"/>
              <w:left w:val="single" w:color="auto" w:sz="4" w:space="0"/>
              <w:right w:val="single" w:color="auto" w:sz="4" w:space="0"/>
            </w:tcBorders>
            <w:shd w:val="clear" w:color="auto" w:fill="FFFFFF"/>
            <w:vAlign w:val="center"/>
          </w:tcPr>
          <w:p>
            <w:pPr>
              <w:pStyle w:val="31"/>
              <w:keepNext w:val="0"/>
              <w:keepLines w:val="0"/>
              <w:pageBreakBefore w:val="0"/>
              <w:widowControl w:val="0"/>
              <w:shd w:val="clear" w:color="auto" w:fill="auto"/>
              <w:tabs>
                <w:tab w:val="left" w:pos="2021"/>
                <w:tab w:val="left" w:pos="3331"/>
              </w:tabs>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年毕业于</w:t>
            </w:r>
            <w:r>
              <w:rPr>
                <w:rFonts w:hint="eastAsia" w:ascii="宋体" w:hAnsi="宋体" w:eastAsia="宋体" w:cs="宋体"/>
                <w:sz w:val="18"/>
                <w:szCs w:val="18"/>
                <w:u w:val="single"/>
                <w:vertAlign w:val="baseline"/>
                <w:lang w:val="en-US" w:eastAsia="zh-CN"/>
              </w:rPr>
              <w:t xml:space="preserve">  </w:t>
            </w:r>
            <w:r>
              <w:rPr>
                <w:rFonts w:hint="eastAsia" w:cs="宋体"/>
                <w:sz w:val="18"/>
                <w:szCs w:val="18"/>
                <w:u w:val="single"/>
                <w:vertAlign w:val="baseline"/>
                <w:lang w:val="en-US" w:eastAsia="zh-CN"/>
              </w:rPr>
              <w:t xml:space="preserve">    </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学校</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专业</w:t>
            </w:r>
          </w:p>
        </w:tc>
      </w:tr>
      <w:tr>
        <w:tblPrEx>
          <w:tblCellMar>
            <w:top w:w="0" w:type="dxa"/>
            <w:left w:w="10" w:type="dxa"/>
            <w:bottom w:w="0" w:type="dxa"/>
            <w:right w:w="10" w:type="dxa"/>
          </w:tblCellMar>
        </w:tblPrEx>
        <w:trPr>
          <w:trHeight w:val="878" w:hRule="exact"/>
          <w:jc w:val="center"/>
        </w:trPr>
        <w:tc>
          <w:tcPr>
            <w:tcW w:w="9058"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180" w:firstLineChars="100"/>
              <w:jc w:val="left"/>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主要工作经历</w:t>
            </w:r>
          </w:p>
        </w:tc>
      </w:tr>
      <w:tr>
        <w:tblPrEx>
          <w:tblCellMar>
            <w:top w:w="0" w:type="dxa"/>
            <w:left w:w="10" w:type="dxa"/>
            <w:bottom w:w="0" w:type="dxa"/>
            <w:right w:w="10" w:type="dxa"/>
          </w:tblCellMar>
        </w:tblPrEx>
        <w:trPr>
          <w:trHeight w:val="874" w:hRule="exact"/>
          <w:jc w:val="center"/>
        </w:trPr>
        <w:tc>
          <w:tcPr>
            <w:tcW w:w="1551" w:type="dxa"/>
            <w:gridSpan w:val="2"/>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时间</w:t>
            </w:r>
          </w:p>
        </w:tc>
        <w:tc>
          <w:tcPr>
            <w:gridSpan w:val="4"/>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参加过的类似项目</w:t>
            </w:r>
          </w:p>
        </w:tc>
        <w:tc>
          <w:tcPr>
            <w:tcBorders>
              <w:top w:val="single" w:color="auto" w:sz="4" w:space="0"/>
              <w:lef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担任职务</w:t>
            </w:r>
          </w:p>
        </w:tc>
        <w:tc>
          <w:tcPr>
            <w:gridSpan w:val="2"/>
            <w:tcBorders>
              <w:top w:val="single" w:color="auto" w:sz="4" w:space="0"/>
              <w:left w:val="single" w:color="auto" w:sz="4" w:space="0"/>
              <w:right w:val="single" w:color="auto" w:sz="4" w:space="0"/>
            </w:tcBorders>
            <w:shd w:val="clear" w:color="auto" w:fill="FFFFFF"/>
            <w:vAlign w:val="center"/>
          </w:tcPr>
          <w:p>
            <w:pPr>
              <w:pStyle w:val="31"/>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发包人及联系电话</w:t>
            </w: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注：供应商应根据供应商须知前附表第</w:t>
      </w:r>
      <w:r>
        <w:rPr>
          <w:rFonts w:hint="eastAsia" w:ascii="宋体" w:hAnsi="宋体" w:eastAsia="宋体" w:cs="宋体"/>
          <w:color w:val="000000"/>
          <w:spacing w:val="0"/>
          <w:w w:val="100"/>
          <w:position w:val="0"/>
          <w:sz w:val="18"/>
          <w:szCs w:val="18"/>
          <w:lang w:val="en-US" w:eastAsia="en-US" w:bidi="en-US"/>
        </w:rPr>
        <w:t>3.</w:t>
      </w:r>
      <w:r>
        <w:rPr>
          <w:rFonts w:hint="eastAsia" w:ascii="宋体" w:hAnsi="宋体" w:eastAsia="宋体" w:cs="宋体"/>
          <w:color w:val="000000"/>
          <w:spacing w:val="0"/>
          <w:w w:val="100"/>
          <w:position w:val="0"/>
          <w:sz w:val="18"/>
          <w:szCs w:val="18"/>
        </w:rPr>
        <w:t>5(</w:t>
      </w:r>
      <w:r>
        <w:rPr>
          <w:rFonts w:hint="eastAsia" w:ascii="宋体" w:hAnsi="宋体" w:eastAsia="宋体" w:cs="宋体"/>
          <w:color w:val="000000"/>
          <w:spacing w:val="0"/>
          <w:w w:val="100"/>
          <w:position w:val="0"/>
          <w:sz w:val="18"/>
          <w:szCs w:val="18"/>
          <w:lang w:val="en-US" w:eastAsia="zh-CN"/>
        </w:rPr>
        <w:t>6</w:t>
      </w:r>
      <w:r>
        <w:rPr>
          <w:rFonts w:hint="eastAsia" w:ascii="宋体" w:hAnsi="宋体" w:eastAsia="宋体" w:cs="宋体"/>
          <w:color w:val="000000"/>
          <w:spacing w:val="0"/>
          <w:w w:val="100"/>
          <w:position w:val="0"/>
          <w:sz w:val="18"/>
          <w:szCs w:val="18"/>
        </w:rPr>
        <w:t>)项的要求在本表后附相关证明材料</w:t>
      </w:r>
      <w:r>
        <w:rPr>
          <w:rFonts w:hint="eastAsia" w:ascii="宋体" w:hAnsi="宋体" w:eastAsia="宋体" w:cs="宋体"/>
          <w:color w:val="000000"/>
          <w:spacing w:val="0"/>
          <w:w w:val="100"/>
          <w:position w:val="0"/>
          <w:sz w:val="18"/>
          <w:szCs w:val="18"/>
          <w:lang w:eastAsia="zh-CN"/>
        </w:rPr>
        <w:t>。</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360" w:firstLineChars="200"/>
        <w:textAlignment w:val="auto"/>
        <w:rPr>
          <w:rFonts w:hint="eastAsia" w:ascii="宋体" w:hAnsi="宋体" w:eastAsia="宋体" w:cs="宋体"/>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855" w:name="_Toc17562"/>
      <w:bookmarkStart w:id="856" w:name="_Toc13523"/>
      <w:r>
        <w:rPr>
          <w:rFonts w:hint="eastAsia" w:ascii="宋体" w:hAnsi="宋体" w:eastAsia="宋体" w:cs="宋体"/>
          <w:sz w:val="28"/>
          <w:szCs w:val="28"/>
          <w:lang w:eastAsia="zh-CN"/>
        </w:rPr>
        <w:t>八、</w:t>
      </w:r>
      <w:r>
        <w:rPr>
          <w:rFonts w:hint="eastAsia" w:ascii="宋体" w:hAnsi="宋体" w:eastAsia="宋体" w:cs="宋体"/>
          <w:sz w:val="28"/>
          <w:szCs w:val="28"/>
          <w:lang w:val="en-US" w:eastAsia="zh-CN"/>
        </w:rPr>
        <w:t>响应</w:t>
      </w:r>
      <w:r>
        <w:rPr>
          <w:rFonts w:hint="eastAsia" w:ascii="宋体" w:hAnsi="宋体" w:eastAsia="宋体" w:cs="宋体"/>
          <w:sz w:val="28"/>
          <w:szCs w:val="28"/>
          <w:lang w:eastAsia="zh-CN"/>
        </w:rPr>
        <w:t>方案</w:t>
      </w:r>
      <w:bookmarkEnd w:id="855"/>
      <w:bookmarkEnd w:id="856"/>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响应方案一般包括(但不限于)下列内容：</w:t>
      </w:r>
    </w:p>
    <w:p>
      <w:pPr>
        <w:pStyle w:val="27"/>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857" w:name="bookmark713"/>
      <w:bookmarkEnd w:id="857"/>
      <w:r>
        <w:rPr>
          <w:rFonts w:hint="eastAsia" w:ascii="宋体" w:hAnsi="宋体" w:eastAsia="宋体" w:cs="宋体"/>
          <w:sz w:val="24"/>
          <w:szCs w:val="24"/>
          <w:lang w:eastAsia="zh-CN"/>
        </w:rPr>
        <w:t>（</w:t>
      </w:r>
      <w:r>
        <w:rPr>
          <w:rFonts w:hint="eastAsia"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color w:val="000000"/>
          <w:spacing w:val="0"/>
          <w:w w:val="100"/>
          <w:position w:val="0"/>
          <w:sz w:val="24"/>
          <w:szCs w:val="24"/>
        </w:rPr>
        <w:t>服务范围及内容；</w:t>
      </w:r>
    </w:p>
    <w:p>
      <w:pPr>
        <w:pStyle w:val="27"/>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858" w:name="bookmark715"/>
      <w:bookmarkEnd w:id="85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服务工作的依据、工作目标；</w:t>
      </w:r>
    </w:p>
    <w:p>
      <w:pPr>
        <w:pStyle w:val="27"/>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859" w:name="bookmark716"/>
      <w:bookmarkEnd w:id="85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拟分包计划及情况说明；</w:t>
      </w:r>
    </w:p>
    <w:p>
      <w:pPr>
        <w:pStyle w:val="27"/>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860" w:name="bookmark717"/>
      <w:bookmarkEnd w:id="86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服务质量、进度、保密等保证措施；</w:t>
      </w:r>
    </w:p>
    <w:p>
      <w:pPr>
        <w:pStyle w:val="27"/>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bookmarkStart w:id="861" w:name="bookmark718"/>
      <w:bookmarkEnd w:id="861"/>
    </w:p>
    <w:p>
      <w:pPr>
        <w:rPr>
          <w:rFonts w:hint="eastAsia" w:ascii="宋体" w:hAnsi="宋体" w:eastAsia="宋体" w:cs="宋体"/>
          <w:sz w:val="28"/>
          <w:szCs w:val="28"/>
        </w:rPr>
      </w:pPr>
      <w:bookmarkStart w:id="862" w:name="bookmark724"/>
      <w:bookmarkStart w:id="863" w:name="bookmark723"/>
      <w:bookmarkStart w:id="864" w:name="bookmark725"/>
      <w:bookmarkStart w:id="865" w:name="bookmark722"/>
      <w:bookmarkStart w:id="866" w:name="_Toc15847"/>
      <w:r>
        <w:rPr>
          <w:rFonts w:hint="eastAsia" w:ascii="宋体" w:hAnsi="宋体" w:eastAsia="宋体" w:cs="宋体"/>
          <w:sz w:val="28"/>
          <w:szCs w:val="28"/>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867" w:name="_Toc28101"/>
      <w:r>
        <w:rPr>
          <w:rFonts w:hint="eastAsia" w:ascii="宋体" w:hAnsi="宋体" w:eastAsia="宋体" w:cs="宋体"/>
          <w:sz w:val="28"/>
          <w:szCs w:val="28"/>
        </w:rPr>
        <w:t>九</w:t>
      </w:r>
      <w:bookmarkEnd w:id="862"/>
      <w:r>
        <w:rPr>
          <w:rFonts w:hint="eastAsia" w:ascii="宋体" w:hAnsi="宋体" w:eastAsia="宋体" w:cs="宋体"/>
          <w:sz w:val="28"/>
          <w:szCs w:val="28"/>
        </w:rPr>
        <w:t>、其他资料</w:t>
      </w:r>
      <w:bookmarkEnd w:id="863"/>
      <w:bookmarkEnd w:id="864"/>
      <w:bookmarkEnd w:id="865"/>
      <w:bookmarkEnd w:id="866"/>
      <w:bookmarkEnd w:id="867"/>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供应商需提交的其他资料。</w:t>
      </w:r>
    </w:p>
    <w:p/>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473"/>
        <w:tab w:val="clear" w:pos="4153"/>
      </w:tabs>
      <w:spacing w:before="0" w:beforeAutospacing="0"/>
      <w:ind w:right="0" w:rightChars="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3776345</wp:posOffset>
              </wp:positionH>
              <wp:positionV relativeFrom="page">
                <wp:posOffset>10008235</wp:posOffset>
              </wp:positionV>
              <wp:extent cx="328930" cy="103505"/>
              <wp:effectExtent l="0" t="0" r="0" b="0"/>
              <wp:wrapNone/>
              <wp:docPr id="257" name="Shape 257"/>
              <wp:cNvGraphicFramePr/>
              <a:graphic xmlns:a="http://schemas.openxmlformats.org/drawingml/2006/main">
                <a:graphicData uri="http://schemas.microsoft.com/office/word/2010/wordprocessingShape">
                  <wps:wsp>
                    <wps:cNvSpPr txBox="1"/>
                    <wps:spPr>
                      <a:xfrm>
                        <a:off x="0" y="0"/>
                        <a:ext cx="328930" cy="103505"/>
                      </a:xfrm>
                      <a:prstGeom prst="rect">
                        <a:avLst/>
                      </a:prstGeom>
                      <a:noFill/>
                    </wps:spPr>
                    <wps:txbx>
                      <w:txbxContent>
                        <w:p>
                          <w:pPr>
                            <w:pStyle w:val="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zh-CN" w:eastAsia="zh-CN" w:bidi="zh-CN"/>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57" o:spid="_x0000_s1026" o:spt="202" type="#_x0000_t202" style="position:absolute;left:0pt;margin-left:297.35pt;margin-top:788.05pt;height:8.15pt;width:25.9pt;mso-position-horizontal-relative:page;mso-position-vertical-relative:page;mso-wrap-style:none;z-index:-251656192;mso-width-relative:page;mso-height-relative:page;" filled="f" stroked="f" coordsize="21600,21600" o:gfxdata="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Nte&#10;09kAAAANAQAADwAAAAAAAAABACAAAAAiAAAAZHJzL2Rvd25yZXYueG1sUEsBAhQAFAAAAAgAh07i&#10;QJa1GEavAQAAcwMAAA4AAAAAAAAAAQAgAAAAKAEAAGRycy9lMm9Eb2MueG1sUEsFBgAAAAAGAAYA&#10;WQEAAEkFAAAAAA==&#10;">
              <v:fill on="f" focussize="0,0"/>
              <v:stroke on="f"/>
              <v:imagedata o:title=""/>
              <o:lock v:ext="edit" aspectratio="f"/>
              <v:textbox inset="0mm,0mm,0mm,0mm" style="mso-fit-shape-to-text:t;">
                <w:txbxContent>
                  <w:p>
                    <w:pPr>
                      <w:pStyle w:val="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zh-CN" w:eastAsia="zh-CN" w:bidi="zh-CN"/>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jc w:val="right"/>
      <w:rPr>
        <w:rFonts w:ascii="Calibri" w:hAnsi="Calibri" w:eastAsia="Calibri" w:cs="Calibri"/>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Calibri" w:hAnsi="Calibri" w:eastAsia="Calibri" w:cs="Calibri"/>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r>
      <w:rPr>
        <w:rFonts w:ascii="Calibri" w:hAnsi="Calibri" w:eastAsia="Calibri" w:cs="Calibri"/>
        <w:spacing w:val="-8"/>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auto"/>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5641975</wp:posOffset>
              </wp:positionH>
              <wp:positionV relativeFrom="page">
                <wp:posOffset>1001395</wp:posOffset>
              </wp:positionV>
              <wp:extent cx="1127760" cy="109855"/>
              <wp:effectExtent l="0" t="0" r="0" b="0"/>
              <wp:wrapNone/>
              <wp:docPr id="255" name="Shape 255"/>
              <wp:cNvGraphicFramePr/>
              <a:graphic xmlns:a="http://schemas.openxmlformats.org/drawingml/2006/main">
                <a:graphicData uri="http://schemas.microsoft.com/office/word/2010/wordprocessingShape">
                  <wps:wsp>
                    <wps:cNvSpPr txBox="1"/>
                    <wps:spPr>
                      <a:xfrm>
                        <a:off x="0" y="0"/>
                        <a:ext cx="1127760" cy="109855"/>
                      </a:xfrm>
                      <a:prstGeom prst="rect">
                        <a:avLst/>
                      </a:prstGeom>
                      <a:noFill/>
                    </wps:spPr>
                    <wps:txbx>
                      <w:txbxContent>
                        <w:p>
                          <w:pPr>
                            <w:pStyle w:val="3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255" o:spid="_x0000_s1026" o:spt="202" type="#_x0000_t202" style="position:absolute;left:0pt;margin-left:444.25pt;margin-top:78.85pt;height:8.65pt;width:88.8pt;mso-position-horizontal-relative:page;mso-position-vertical-relative:page;mso-wrap-style:none;z-index:-251656192;mso-width-relative:page;mso-height-relative:page;" filled="f" stroked="f" coordsize="21600,21600" o:gfxdata="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SCMtYA&#10;AAAMAQAADwAAAAAAAAABACAAAAAiAAAAZHJzL2Rvd25yZXYueG1sUEsBAhQAFAAAAAgAh07iQFwE&#10;1QKvAQAAdAMAAA4AAAAAAAAAAQAgAAAAJQEAAGRycy9lMm9Eb2MueG1sUEsFBgAAAAAGAAYAWQEA&#10;AEYFAAAAAA==&#10;">
              <v:fill on="f" focussize="0,0"/>
              <v:stroke on="f"/>
              <v:imagedata o:title=""/>
              <o:lock v:ext="edit" aspectratio="f"/>
              <v:textbox inset="0mm,0mm,0mm,0mm" style="mso-fit-shape-to-text:t;">
                <w:txbxContent>
                  <w:p>
                    <w:pPr>
                      <w:pStyle w:val="3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76DFE"/>
    <w:multiLevelType w:val="singleLevel"/>
    <w:tmpl w:val="9C176DFE"/>
    <w:lvl w:ilvl="0" w:tentative="0">
      <w:start w:val="1"/>
      <w:numFmt w:val="decimal"/>
      <w:suff w:val="space"/>
      <w:lvlText w:val="（%1）"/>
      <w:lvlJc w:val="left"/>
    </w:lvl>
  </w:abstractNum>
  <w:abstractNum w:abstractNumId="1">
    <w:nsid w:val="A03839EE"/>
    <w:multiLevelType w:val="singleLevel"/>
    <w:tmpl w:val="A03839EE"/>
    <w:lvl w:ilvl="0" w:tentative="0">
      <w:start w:val="1"/>
      <w:numFmt w:val="chineseCounting"/>
      <w:suff w:val="nothing"/>
      <w:lvlText w:val="%1、"/>
      <w:lvlJc w:val="left"/>
      <w:rPr>
        <w:rFonts w:hint="eastAsia"/>
      </w:rPr>
    </w:lvl>
  </w:abstractNum>
  <w:abstractNum w:abstractNumId="2">
    <w:nsid w:val="D9925CA0"/>
    <w:multiLevelType w:val="singleLevel"/>
    <w:tmpl w:val="D9925CA0"/>
    <w:lvl w:ilvl="0" w:tentative="0">
      <w:start w:val="1"/>
      <w:numFmt w:val="decimalEnclosedCircleChinese"/>
      <w:suff w:val="nothing"/>
      <w:lvlText w:val="%1　"/>
      <w:lvlJc w:val="left"/>
      <w:pPr>
        <w:ind w:left="0" w:firstLine="400"/>
      </w:pPr>
      <w:rPr>
        <w:rFonts w:hint="eastAsia"/>
        <w:b w:val="0"/>
        <w:bCs w:val="0"/>
      </w:rPr>
    </w:lvl>
  </w:abstractNum>
  <w:abstractNum w:abstractNumId="3">
    <w:nsid w:val="00BF8570"/>
    <w:multiLevelType w:val="singleLevel"/>
    <w:tmpl w:val="00BF8570"/>
    <w:lvl w:ilvl="0" w:tentative="0">
      <w:start w:val="1"/>
      <w:numFmt w:val="decimal"/>
      <w:suff w:val="nothing"/>
      <w:lvlText w:val="%1、"/>
      <w:lvlJc w:val="left"/>
    </w:lvl>
  </w:abstractNum>
  <w:abstractNum w:abstractNumId="4">
    <w:nsid w:val="28D2AFCC"/>
    <w:multiLevelType w:val="multilevel"/>
    <w:tmpl w:val="28D2AFC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3D2B5C04"/>
    <w:multiLevelType w:val="multilevel"/>
    <w:tmpl w:val="3D2B5C04"/>
    <w:lvl w:ilvl="0" w:tentative="0">
      <w:start w:val="1"/>
      <w:numFmt w:val="none"/>
      <w:suff w:val="space"/>
      <w:lvlText w:val=""/>
      <w:lvlJc w:val="left"/>
      <w:pPr>
        <w:ind w:left="0" w:firstLine="0"/>
      </w:pPr>
      <w:rPr>
        <w:rFonts w:hint="eastAsia"/>
      </w:rPr>
    </w:lvl>
    <w:lvl w:ilvl="1" w:tentative="0">
      <w:start w:val="1"/>
      <w:numFmt w:val="none"/>
      <w:suff w:val="space"/>
      <w:lvlText w:val=""/>
      <w:lvlJc w:val="left"/>
      <w:pPr>
        <w:ind w:left="0" w:firstLine="0"/>
      </w:pPr>
      <w:rPr>
        <w:rFonts w:hint="eastAsia"/>
      </w:rPr>
    </w:lvl>
    <w:lvl w:ilvl="2" w:tentative="0">
      <w:start w:val="1"/>
      <w:numFmt w:val="decimal"/>
      <w:suff w:val="space"/>
      <w:lvlText w:val="第%1%3条"/>
      <w:lvlJc w:val="left"/>
      <w:pPr>
        <w:ind w:left="0" w:firstLine="0"/>
      </w:pPr>
      <w:rPr>
        <w:rFonts w:hint="eastAsia"/>
        <w:b/>
        <w:i w:val="0"/>
      </w:rPr>
    </w:lvl>
    <w:lvl w:ilvl="3" w:tentative="0">
      <w:start w:val="1"/>
      <w:numFmt w:val="decimal"/>
      <w:suff w:val="space"/>
      <w:lvlText w:val="%3.%4"/>
      <w:lvlJc w:val="left"/>
      <w:pPr>
        <w:ind w:left="0" w:firstLine="0"/>
      </w:pPr>
      <w:rPr>
        <w:rFonts w:hint="eastAsia" w:eastAsia="宋体"/>
        <w:b w:val="0"/>
        <w:i w:val="0"/>
        <w:sz w:val="21"/>
      </w:rPr>
    </w:lvl>
    <w:lvl w:ilvl="4" w:tentative="0">
      <w:start w:val="1"/>
      <w:numFmt w:val="decimal"/>
      <w:suff w:val="space"/>
      <w:lvlText w:val="%3.%4.%5"/>
      <w:lvlJc w:val="left"/>
      <w:pPr>
        <w:ind w:left="351" w:hanging="171"/>
      </w:pPr>
      <w:rPr>
        <w:rFonts w:hint="eastAsia"/>
      </w:rPr>
    </w:lvl>
    <w:lvl w:ilvl="5" w:tentative="0">
      <w:start w:val="1"/>
      <w:numFmt w:val="decimal"/>
      <w:suff w:val="space"/>
      <w:lvlText w:val="%3.%4.%5.%6"/>
      <w:lvlJc w:val="left"/>
      <w:pPr>
        <w:ind w:left="510" w:hanging="226"/>
      </w:pPr>
      <w:rPr>
        <w:rFonts w:hint="eastAsia"/>
      </w:rPr>
    </w:lvl>
    <w:lvl w:ilvl="6" w:tentative="0">
      <w:start w:val="1"/>
      <w:numFmt w:val="decimal"/>
      <w:suff w:val="space"/>
      <w:lvlText w:val="%3.%4.%5.%6.%7"/>
      <w:lvlJc w:val="left"/>
      <w:pPr>
        <w:ind w:left="0" w:firstLine="284"/>
      </w:pPr>
      <w:rPr>
        <w:rFonts w:hint="eastAsia"/>
      </w:rPr>
    </w:lvl>
    <w:lvl w:ilvl="7" w:tentative="0">
      <w:start w:val="1"/>
      <w:numFmt w:val="decimal"/>
      <w:pStyle w:val="6"/>
      <w:suff w:val="space"/>
      <w:lvlText w:val="(%8%1)"/>
      <w:lvlJc w:val="left"/>
      <w:pPr>
        <w:ind w:left="0" w:firstLine="284"/>
      </w:pPr>
      <w:rPr>
        <w:rFonts w:hint="eastAsia" w:eastAsia="宋体"/>
        <w:b w:val="0"/>
        <w:i w:val="0"/>
        <w:sz w:val="21"/>
      </w:rPr>
    </w:lvl>
    <w:lvl w:ilvl="8" w:tentative="0">
      <w:start w:val="1"/>
      <w:numFmt w:val="lowerRoman"/>
      <w:suff w:val="space"/>
      <w:lvlText w:val="(%9%1)"/>
      <w:lvlJc w:val="left"/>
      <w:pPr>
        <w:ind w:left="0" w:firstLine="567"/>
      </w:pPr>
      <w:rPr>
        <w:rFonts w:hint="eastAsia"/>
      </w:rPr>
    </w:lvl>
  </w:abstractNum>
  <w:abstractNum w:abstractNumId="6">
    <w:nsid w:val="40260B5B"/>
    <w:multiLevelType w:val="singleLevel"/>
    <w:tmpl w:val="40260B5B"/>
    <w:lvl w:ilvl="0" w:tentative="0">
      <w:start w:val="6"/>
      <w:numFmt w:val="chineseCounting"/>
      <w:suff w:val="space"/>
      <w:lvlText w:val="第%1章"/>
      <w:lvlJc w:val="left"/>
      <w:rPr>
        <w:rFonts w:hint="eastAsia"/>
      </w:rPr>
    </w:lvl>
  </w:abstractNum>
  <w:abstractNum w:abstractNumId="7">
    <w:nsid w:val="4BE59319"/>
    <w:multiLevelType w:val="singleLevel"/>
    <w:tmpl w:val="4BE59319"/>
    <w:lvl w:ilvl="0" w:tentative="0">
      <w:start w:val="3"/>
      <w:numFmt w:val="decimal"/>
      <w:lvlText w:val="%1."/>
      <w:lvlJc w:val="left"/>
      <w:pPr>
        <w:tabs>
          <w:tab w:val="left" w:pos="312"/>
        </w:tabs>
      </w:pPr>
    </w:lvl>
  </w:abstractNum>
  <w:abstractNum w:abstractNumId="8">
    <w:nsid w:val="58AFFA57"/>
    <w:multiLevelType w:val="singleLevel"/>
    <w:tmpl w:val="58AFFA57"/>
    <w:lvl w:ilvl="0" w:tentative="0">
      <w:start w:val="1"/>
      <w:numFmt w:val="decimal"/>
      <w:suff w:val="nothing"/>
      <w:lvlText w:val="（%1）"/>
      <w:lvlJc w:val="left"/>
    </w:lvl>
  </w:abstractNum>
  <w:abstractNum w:abstractNumId="9">
    <w:nsid w:val="67BE5CBB"/>
    <w:multiLevelType w:val="singleLevel"/>
    <w:tmpl w:val="67BE5CBB"/>
    <w:lvl w:ilvl="0" w:tentative="0">
      <w:start w:val="1"/>
      <w:numFmt w:val="chineseCounting"/>
      <w:suff w:val="nothing"/>
      <w:lvlText w:val="%1、"/>
      <w:lvlJc w:val="left"/>
      <w:pPr>
        <w:ind w:left="0" w:firstLine="420"/>
      </w:pPr>
      <w:rPr>
        <w:rFonts w:hint="eastAsia"/>
      </w:rPr>
    </w:lvl>
  </w:abstractNum>
  <w:num w:numId="1">
    <w:abstractNumId w:val="5"/>
  </w:num>
  <w:num w:numId="2">
    <w:abstractNumId w:val="4"/>
  </w:num>
  <w:num w:numId="3">
    <w:abstractNumId w:val="8"/>
  </w:num>
  <w:num w:numId="4">
    <w:abstractNumId w:val="0"/>
  </w:num>
  <w:num w:numId="5">
    <w:abstractNumId w:val="1"/>
  </w:num>
  <w:num w:numId="6">
    <w:abstractNumId w:val="3"/>
  </w:num>
  <w:num w:numId="7">
    <w:abstractNumId w:val="2"/>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TIyZjAxMWNjZTU0N2NhNmYzMTAzZjIxNjUxZjQifQ=="/>
  </w:docVars>
  <w:rsids>
    <w:rsidRoot w:val="2CD6104C"/>
    <w:rsid w:val="004277C9"/>
    <w:rsid w:val="0066795B"/>
    <w:rsid w:val="006E05BE"/>
    <w:rsid w:val="00975D66"/>
    <w:rsid w:val="00AD558A"/>
    <w:rsid w:val="00DB0B48"/>
    <w:rsid w:val="00DC5E6F"/>
    <w:rsid w:val="01260BCB"/>
    <w:rsid w:val="018D750F"/>
    <w:rsid w:val="01AB48B6"/>
    <w:rsid w:val="01B80B7A"/>
    <w:rsid w:val="01CE15B8"/>
    <w:rsid w:val="01DB1C83"/>
    <w:rsid w:val="01FB0577"/>
    <w:rsid w:val="02104022"/>
    <w:rsid w:val="021B4775"/>
    <w:rsid w:val="025739FF"/>
    <w:rsid w:val="0261662C"/>
    <w:rsid w:val="028553A1"/>
    <w:rsid w:val="033667C1"/>
    <w:rsid w:val="0358051C"/>
    <w:rsid w:val="03625C7A"/>
    <w:rsid w:val="03646F18"/>
    <w:rsid w:val="03665737"/>
    <w:rsid w:val="03777791"/>
    <w:rsid w:val="039E0264"/>
    <w:rsid w:val="03B60854"/>
    <w:rsid w:val="03CE5F43"/>
    <w:rsid w:val="04115E30"/>
    <w:rsid w:val="041871BE"/>
    <w:rsid w:val="04534677"/>
    <w:rsid w:val="04575F38"/>
    <w:rsid w:val="04647BC7"/>
    <w:rsid w:val="04774D75"/>
    <w:rsid w:val="04D11421"/>
    <w:rsid w:val="04E83035"/>
    <w:rsid w:val="05946D18"/>
    <w:rsid w:val="05AF696F"/>
    <w:rsid w:val="05C25634"/>
    <w:rsid w:val="060774EA"/>
    <w:rsid w:val="064A7E01"/>
    <w:rsid w:val="0654562A"/>
    <w:rsid w:val="06562220"/>
    <w:rsid w:val="06A967F3"/>
    <w:rsid w:val="074A4240"/>
    <w:rsid w:val="075356C9"/>
    <w:rsid w:val="0781151E"/>
    <w:rsid w:val="07CF228A"/>
    <w:rsid w:val="07FE491D"/>
    <w:rsid w:val="08394D9B"/>
    <w:rsid w:val="083B2C60"/>
    <w:rsid w:val="086504F8"/>
    <w:rsid w:val="08732C15"/>
    <w:rsid w:val="087A4E0A"/>
    <w:rsid w:val="08822C1F"/>
    <w:rsid w:val="089811CD"/>
    <w:rsid w:val="08B15387"/>
    <w:rsid w:val="08E0646E"/>
    <w:rsid w:val="0929283D"/>
    <w:rsid w:val="095C18FB"/>
    <w:rsid w:val="099355F8"/>
    <w:rsid w:val="099C2F22"/>
    <w:rsid w:val="09A53B82"/>
    <w:rsid w:val="09A725A7"/>
    <w:rsid w:val="09AF5ECF"/>
    <w:rsid w:val="09B907C2"/>
    <w:rsid w:val="0A3463D4"/>
    <w:rsid w:val="0A6071C9"/>
    <w:rsid w:val="0A652A31"/>
    <w:rsid w:val="0A65799E"/>
    <w:rsid w:val="0AB6322D"/>
    <w:rsid w:val="0AC37758"/>
    <w:rsid w:val="0AFF2E86"/>
    <w:rsid w:val="0B094C94"/>
    <w:rsid w:val="0B1C1BC3"/>
    <w:rsid w:val="0B4B7E79"/>
    <w:rsid w:val="0B725406"/>
    <w:rsid w:val="0B7E6E21"/>
    <w:rsid w:val="0BC11EE9"/>
    <w:rsid w:val="0BC814CA"/>
    <w:rsid w:val="0BF57DE5"/>
    <w:rsid w:val="0C393B45"/>
    <w:rsid w:val="0C5E1E2E"/>
    <w:rsid w:val="0C7451AE"/>
    <w:rsid w:val="0C886EAB"/>
    <w:rsid w:val="0D076022"/>
    <w:rsid w:val="0D112137"/>
    <w:rsid w:val="0D2B56E9"/>
    <w:rsid w:val="0DA815B3"/>
    <w:rsid w:val="0DB83905"/>
    <w:rsid w:val="0DC55AE2"/>
    <w:rsid w:val="0DE46363"/>
    <w:rsid w:val="0DF2282E"/>
    <w:rsid w:val="0E924011"/>
    <w:rsid w:val="0EA7186A"/>
    <w:rsid w:val="0EC3241C"/>
    <w:rsid w:val="0EC56195"/>
    <w:rsid w:val="0EF32D02"/>
    <w:rsid w:val="0F435648"/>
    <w:rsid w:val="0F492922"/>
    <w:rsid w:val="0FAE6C29"/>
    <w:rsid w:val="0FBC7598"/>
    <w:rsid w:val="104D6442"/>
    <w:rsid w:val="106C28D1"/>
    <w:rsid w:val="107240FA"/>
    <w:rsid w:val="10BE2E9B"/>
    <w:rsid w:val="112C42A9"/>
    <w:rsid w:val="113B4369"/>
    <w:rsid w:val="11C521AC"/>
    <w:rsid w:val="11C73FD2"/>
    <w:rsid w:val="11F32DBF"/>
    <w:rsid w:val="126D6927"/>
    <w:rsid w:val="12B82803"/>
    <w:rsid w:val="12FC5EFD"/>
    <w:rsid w:val="13053004"/>
    <w:rsid w:val="130554E6"/>
    <w:rsid w:val="1309098F"/>
    <w:rsid w:val="13144FF5"/>
    <w:rsid w:val="134445CA"/>
    <w:rsid w:val="1362095C"/>
    <w:rsid w:val="136C3083"/>
    <w:rsid w:val="139B5716"/>
    <w:rsid w:val="13A740BB"/>
    <w:rsid w:val="13AB6CAF"/>
    <w:rsid w:val="13C5585C"/>
    <w:rsid w:val="13CC3B21"/>
    <w:rsid w:val="14816D96"/>
    <w:rsid w:val="14B44CE1"/>
    <w:rsid w:val="14B52807"/>
    <w:rsid w:val="14D56A06"/>
    <w:rsid w:val="14DD71C3"/>
    <w:rsid w:val="14F72E20"/>
    <w:rsid w:val="15192D96"/>
    <w:rsid w:val="15266B50"/>
    <w:rsid w:val="1529706A"/>
    <w:rsid w:val="15340182"/>
    <w:rsid w:val="15357675"/>
    <w:rsid w:val="15406575"/>
    <w:rsid w:val="154F67B8"/>
    <w:rsid w:val="155E6F46"/>
    <w:rsid w:val="15763D45"/>
    <w:rsid w:val="1598133F"/>
    <w:rsid w:val="16492D73"/>
    <w:rsid w:val="16557DFE"/>
    <w:rsid w:val="16846935"/>
    <w:rsid w:val="16B0772A"/>
    <w:rsid w:val="16B70AB9"/>
    <w:rsid w:val="16D01E02"/>
    <w:rsid w:val="171E6442"/>
    <w:rsid w:val="17345C65"/>
    <w:rsid w:val="17571954"/>
    <w:rsid w:val="17836BED"/>
    <w:rsid w:val="178A3AD7"/>
    <w:rsid w:val="178C784F"/>
    <w:rsid w:val="17943F7C"/>
    <w:rsid w:val="179C00E9"/>
    <w:rsid w:val="17B31280"/>
    <w:rsid w:val="17E94CA2"/>
    <w:rsid w:val="17EA7C13"/>
    <w:rsid w:val="180F222F"/>
    <w:rsid w:val="181F6915"/>
    <w:rsid w:val="186407CC"/>
    <w:rsid w:val="186E51A7"/>
    <w:rsid w:val="189A44E0"/>
    <w:rsid w:val="18C94AD3"/>
    <w:rsid w:val="18EA6F23"/>
    <w:rsid w:val="19173A91"/>
    <w:rsid w:val="1924230B"/>
    <w:rsid w:val="195C76F5"/>
    <w:rsid w:val="19611F39"/>
    <w:rsid w:val="19616ABA"/>
    <w:rsid w:val="196A64AF"/>
    <w:rsid w:val="197821ED"/>
    <w:rsid w:val="197F13C8"/>
    <w:rsid w:val="19836A30"/>
    <w:rsid w:val="198804EA"/>
    <w:rsid w:val="199B570B"/>
    <w:rsid w:val="19A277FE"/>
    <w:rsid w:val="19B14345"/>
    <w:rsid w:val="1A46462D"/>
    <w:rsid w:val="1A5D54D3"/>
    <w:rsid w:val="1A654388"/>
    <w:rsid w:val="1A6C5716"/>
    <w:rsid w:val="1A9B5FFB"/>
    <w:rsid w:val="1AB86BAD"/>
    <w:rsid w:val="1ABA2925"/>
    <w:rsid w:val="1AD25EC1"/>
    <w:rsid w:val="1ADA299C"/>
    <w:rsid w:val="1AE92047"/>
    <w:rsid w:val="1AE94FB9"/>
    <w:rsid w:val="1B21087D"/>
    <w:rsid w:val="1B6C0AC2"/>
    <w:rsid w:val="1B7927E1"/>
    <w:rsid w:val="1BAD5FE6"/>
    <w:rsid w:val="1BAD6444"/>
    <w:rsid w:val="1BCA4DEA"/>
    <w:rsid w:val="1BD87507"/>
    <w:rsid w:val="1C00080C"/>
    <w:rsid w:val="1C19488B"/>
    <w:rsid w:val="1C2F20FA"/>
    <w:rsid w:val="1C405EF3"/>
    <w:rsid w:val="1C8C02F2"/>
    <w:rsid w:val="1CC47A8B"/>
    <w:rsid w:val="1D0B5CB9"/>
    <w:rsid w:val="1D526E45"/>
    <w:rsid w:val="1D807E56"/>
    <w:rsid w:val="1D84721B"/>
    <w:rsid w:val="1D8D39D3"/>
    <w:rsid w:val="1D972A21"/>
    <w:rsid w:val="1DA84CB7"/>
    <w:rsid w:val="1DE10B3A"/>
    <w:rsid w:val="1E05035C"/>
    <w:rsid w:val="1E1E4F79"/>
    <w:rsid w:val="1E2C7696"/>
    <w:rsid w:val="1E93700A"/>
    <w:rsid w:val="1E9C618D"/>
    <w:rsid w:val="1E9D67E6"/>
    <w:rsid w:val="1EC11E8C"/>
    <w:rsid w:val="1EE62BC9"/>
    <w:rsid w:val="1EF74148"/>
    <w:rsid w:val="1F015931"/>
    <w:rsid w:val="1F291E28"/>
    <w:rsid w:val="1F3E7CAA"/>
    <w:rsid w:val="1F6D6520"/>
    <w:rsid w:val="1FA354BF"/>
    <w:rsid w:val="1FAF285C"/>
    <w:rsid w:val="1FC55C88"/>
    <w:rsid w:val="1FF24910"/>
    <w:rsid w:val="20102221"/>
    <w:rsid w:val="201E3957"/>
    <w:rsid w:val="201E74B3"/>
    <w:rsid w:val="209A7EE6"/>
    <w:rsid w:val="20A12C6A"/>
    <w:rsid w:val="20DB1848"/>
    <w:rsid w:val="210443E7"/>
    <w:rsid w:val="21107582"/>
    <w:rsid w:val="211F34E2"/>
    <w:rsid w:val="215F5FD5"/>
    <w:rsid w:val="21735039"/>
    <w:rsid w:val="217952E8"/>
    <w:rsid w:val="21843AEB"/>
    <w:rsid w:val="21A8172A"/>
    <w:rsid w:val="222806DF"/>
    <w:rsid w:val="22513B6F"/>
    <w:rsid w:val="225673D8"/>
    <w:rsid w:val="226A08A3"/>
    <w:rsid w:val="226A69DF"/>
    <w:rsid w:val="22A1482E"/>
    <w:rsid w:val="22C560ED"/>
    <w:rsid w:val="22CF718A"/>
    <w:rsid w:val="23052BAC"/>
    <w:rsid w:val="23104AAF"/>
    <w:rsid w:val="231D5A77"/>
    <w:rsid w:val="23221D24"/>
    <w:rsid w:val="237C6DAB"/>
    <w:rsid w:val="23B720F8"/>
    <w:rsid w:val="23E5493D"/>
    <w:rsid w:val="23E6478B"/>
    <w:rsid w:val="243E6375"/>
    <w:rsid w:val="244F2331"/>
    <w:rsid w:val="24520004"/>
    <w:rsid w:val="24806E73"/>
    <w:rsid w:val="24947236"/>
    <w:rsid w:val="249D7540"/>
    <w:rsid w:val="251F7F55"/>
    <w:rsid w:val="25315EDA"/>
    <w:rsid w:val="25401F8E"/>
    <w:rsid w:val="25CB4D83"/>
    <w:rsid w:val="25D7040B"/>
    <w:rsid w:val="25DB3FA0"/>
    <w:rsid w:val="25DE01F7"/>
    <w:rsid w:val="25E92311"/>
    <w:rsid w:val="25F0369F"/>
    <w:rsid w:val="263E265D"/>
    <w:rsid w:val="2652435A"/>
    <w:rsid w:val="265A320F"/>
    <w:rsid w:val="266768E3"/>
    <w:rsid w:val="266F2816"/>
    <w:rsid w:val="268635AE"/>
    <w:rsid w:val="26995AE5"/>
    <w:rsid w:val="26AF5552"/>
    <w:rsid w:val="26C42C43"/>
    <w:rsid w:val="26D703BB"/>
    <w:rsid w:val="273121C1"/>
    <w:rsid w:val="2735438B"/>
    <w:rsid w:val="27B23302"/>
    <w:rsid w:val="27BF5A1F"/>
    <w:rsid w:val="27C76682"/>
    <w:rsid w:val="28033B5E"/>
    <w:rsid w:val="281C077C"/>
    <w:rsid w:val="289C366A"/>
    <w:rsid w:val="28A32C4B"/>
    <w:rsid w:val="28C36E49"/>
    <w:rsid w:val="293B7EA6"/>
    <w:rsid w:val="2940493E"/>
    <w:rsid w:val="295004BC"/>
    <w:rsid w:val="29657F00"/>
    <w:rsid w:val="29804D3A"/>
    <w:rsid w:val="29A34710"/>
    <w:rsid w:val="29A83749"/>
    <w:rsid w:val="29AB5641"/>
    <w:rsid w:val="29E17ECF"/>
    <w:rsid w:val="29E73731"/>
    <w:rsid w:val="29F574D6"/>
    <w:rsid w:val="29F64FFC"/>
    <w:rsid w:val="2A0C2A72"/>
    <w:rsid w:val="2A2B114A"/>
    <w:rsid w:val="2A2B3CB9"/>
    <w:rsid w:val="2A446189"/>
    <w:rsid w:val="2A553627"/>
    <w:rsid w:val="2A740ECA"/>
    <w:rsid w:val="2A966EC1"/>
    <w:rsid w:val="2ABA6A50"/>
    <w:rsid w:val="2ABE0DE4"/>
    <w:rsid w:val="2AE00186"/>
    <w:rsid w:val="2AF20184"/>
    <w:rsid w:val="2AF4649D"/>
    <w:rsid w:val="2B22254D"/>
    <w:rsid w:val="2B30453E"/>
    <w:rsid w:val="2B4C581C"/>
    <w:rsid w:val="2B8B5B54"/>
    <w:rsid w:val="2BD8627C"/>
    <w:rsid w:val="2BE538E2"/>
    <w:rsid w:val="2BEF4305"/>
    <w:rsid w:val="2C1B6F9C"/>
    <w:rsid w:val="2C3C763E"/>
    <w:rsid w:val="2C433B6C"/>
    <w:rsid w:val="2C5144F8"/>
    <w:rsid w:val="2CA86A82"/>
    <w:rsid w:val="2CAB35CB"/>
    <w:rsid w:val="2CD6104C"/>
    <w:rsid w:val="2CDA327C"/>
    <w:rsid w:val="2CDD4252"/>
    <w:rsid w:val="2CE61358"/>
    <w:rsid w:val="2D2C76B3"/>
    <w:rsid w:val="2D865FF5"/>
    <w:rsid w:val="2D8D5C78"/>
    <w:rsid w:val="2DF67CC1"/>
    <w:rsid w:val="2E513149"/>
    <w:rsid w:val="2E580B9C"/>
    <w:rsid w:val="2E5E07DC"/>
    <w:rsid w:val="2EA576DA"/>
    <w:rsid w:val="2EA9088F"/>
    <w:rsid w:val="2EAD6BFD"/>
    <w:rsid w:val="2ECF738F"/>
    <w:rsid w:val="2ED33B5E"/>
    <w:rsid w:val="2F7912C8"/>
    <w:rsid w:val="2FB35E69"/>
    <w:rsid w:val="2FB67A39"/>
    <w:rsid w:val="2FC448BC"/>
    <w:rsid w:val="2FDF15B3"/>
    <w:rsid w:val="2FE75B13"/>
    <w:rsid w:val="303D3985"/>
    <w:rsid w:val="30B31668"/>
    <w:rsid w:val="30D722B9"/>
    <w:rsid w:val="30E3277E"/>
    <w:rsid w:val="3102072B"/>
    <w:rsid w:val="313E1763"/>
    <w:rsid w:val="31D8182F"/>
    <w:rsid w:val="320C0799"/>
    <w:rsid w:val="32165020"/>
    <w:rsid w:val="3220530C"/>
    <w:rsid w:val="322A1CE7"/>
    <w:rsid w:val="326E680C"/>
    <w:rsid w:val="32C605A0"/>
    <w:rsid w:val="32F72511"/>
    <w:rsid w:val="33541711"/>
    <w:rsid w:val="33A603B3"/>
    <w:rsid w:val="33C728B0"/>
    <w:rsid w:val="33E365F1"/>
    <w:rsid w:val="34117602"/>
    <w:rsid w:val="34180991"/>
    <w:rsid w:val="343B7285"/>
    <w:rsid w:val="34457CEE"/>
    <w:rsid w:val="34563267"/>
    <w:rsid w:val="34B1049E"/>
    <w:rsid w:val="34B579FA"/>
    <w:rsid w:val="34F7164D"/>
    <w:rsid w:val="35200C17"/>
    <w:rsid w:val="35505F08"/>
    <w:rsid w:val="35A06198"/>
    <w:rsid w:val="35A35987"/>
    <w:rsid w:val="35A65B28"/>
    <w:rsid w:val="35A76286"/>
    <w:rsid w:val="360712C8"/>
    <w:rsid w:val="362C386D"/>
    <w:rsid w:val="366935CD"/>
    <w:rsid w:val="36697317"/>
    <w:rsid w:val="367B5207"/>
    <w:rsid w:val="368A7D5F"/>
    <w:rsid w:val="369938DF"/>
    <w:rsid w:val="36CF1B0B"/>
    <w:rsid w:val="36D16BD5"/>
    <w:rsid w:val="36DF5796"/>
    <w:rsid w:val="37040D59"/>
    <w:rsid w:val="374E6478"/>
    <w:rsid w:val="375A4E1C"/>
    <w:rsid w:val="37922808"/>
    <w:rsid w:val="37976071"/>
    <w:rsid w:val="37D746BF"/>
    <w:rsid w:val="37DC3FC1"/>
    <w:rsid w:val="37DE5A4E"/>
    <w:rsid w:val="37DF3B3A"/>
    <w:rsid w:val="38606463"/>
    <w:rsid w:val="3896691E"/>
    <w:rsid w:val="391A0D07"/>
    <w:rsid w:val="391B123B"/>
    <w:rsid w:val="392C4597"/>
    <w:rsid w:val="39565AB7"/>
    <w:rsid w:val="39653C7D"/>
    <w:rsid w:val="39697599"/>
    <w:rsid w:val="39A607ED"/>
    <w:rsid w:val="39B06F76"/>
    <w:rsid w:val="39B36A66"/>
    <w:rsid w:val="39C76C67"/>
    <w:rsid w:val="3A1349CE"/>
    <w:rsid w:val="3A50091E"/>
    <w:rsid w:val="3A7857C1"/>
    <w:rsid w:val="3A800073"/>
    <w:rsid w:val="3AB807D8"/>
    <w:rsid w:val="3AEF1D20"/>
    <w:rsid w:val="3B1479D8"/>
    <w:rsid w:val="3B1B0D67"/>
    <w:rsid w:val="3B20012B"/>
    <w:rsid w:val="3B5F68BA"/>
    <w:rsid w:val="3B9508E7"/>
    <w:rsid w:val="3BC62A80"/>
    <w:rsid w:val="3BD55131"/>
    <w:rsid w:val="3BEB0739"/>
    <w:rsid w:val="3C720E5A"/>
    <w:rsid w:val="3C940E9E"/>
    <w:rsid w:val="3CC6538C"/>
    <w:rsid w:val="3CDA56E5"/>
    <w:rsid w:val="3CE95417"/>
    <w:rsid w:val="3CF57A8B"/>
    <w:rsid w:val="3CF772CF"/>
    <w:rsid w:val="3D1E390A"/>
    <w:rsid w:val="3D3D4FC4"/>
    <w:rsid w:val="3D7D1865"/>
    <w:rsid w:val="3EA57C42"/>
    <w:rsid w:val="3EA850CD"/>
    <w:rsid w:val="3EAD04F7"/>
    <w:rsid w:val="3EBE124C"/>
    <w:rsid w:val="3EC314F9"/>
    <w:rsid w:val="3F0044FB"/>
    <w:rsid w:val="3F296DB4"/>
    <w:rsid w:val="3F2A7F57"/>
    <w:rsid w:val="3F7722E4"/>
    <w:rsid w:val="3F9A222F"/>
    <w:rsid w:val="3FB84DD6"/>
    <w:rsid w:val="3FE060DB"/>
    <w:rsid w:val="3FFA719D"/>
    <w:rsid w:val="40011F72"/>
    <w:rsid w:val="40063D93"/>
    <w:rsid w:val="4026439E"/>
    <w:rsid w:val="40295CD4"/>
    <w:rsid w:val="402E60AD"/>
    <w:rsid w:val="40714F85"/>
    <w:rsid w:val="408B49BF"/>
    <w:rsid w:val="40A761FA"/>
    <w:rsid w:val="40E238EF"/>
    <w:rsid w:val="41036525"/>
    <w:rsid w:val="411B0A18"/>
    <w:rsid w:val="415E19AD"/>
    <w:rsid w:val="41766CF7"/>
    <w:rsid w:val="41B3357F"/>
    <w:rsid w:val="41B90881"/>
    <w:rsid w:val="42291FBB"/>
    <w:rsid w:val="427174BE"/>
    <w:rsid w:val="42B20B2B"/>
    <w:rsid w:val="42C121F4"/>
    <w:rsid w:val="42E63A08"/>
    <w:rsid w:val="4326474D"/>
    <w:rsid w:val="437D25BE"/>
    <w:rsid w:val="43BD6E5F"/>
    <w:rsid w:val="43E908BD"/>
    <w:rsid w:val="43EE526A"/>
    <w:rsid w:val="44337BAA"/>
    <w:rsid w:val="44356F59"/>
    <w:rsid w:val="443D0DD2"/>
    <w:rsid w:val="44827761"/>
    <w:rsid w:val="44ED72D0"/>
    <w:rsid w:val="44FA0F89"/>
    <w:rsid w:val="451E392D"/>
    <w:rsid w:val="452773A5"/>
    <w:rsid w:val="453A628D"/>
    <w:rsid w:val="45617CBE"/>
    <w:rsid w:val="45916FA0"/>
    <w:rsid w:val="459879AD"/>
    <w:rsid w:val="459A4484"/>
    <w:rsid w:val="45A57464"/>
    <w:rsid w:val="45EB1BFB"/>
    <w:rsid w:val="45ED00D2"/>
    <w:rsid w:val="45F84CEE"/>
    <w:rsid w:val="463A409F"/>
    <w:rsid w:val="46647A66"/>
    <w:rsid w:val="46737CA9"/>
    <w:rsid w:val="4677696F"/>
    <w:rsid w:val="467E612F"/>
    <w:rsid w:val="469245DE"/>
    <w:rsid w:val="46A25D1D"/>
    <w:rsid w:val="46A63BDA"/>
    <w:rsid w:val="46AB7443"/>
    <w:rsid w:val="46AC241C"/>
    <w:rsid w:val="46D85D5E"/>
    <w:rsid w:val="46E5188B"/>
    <w:rsid w:val="46EB4799"/>
    <w:rsid w:val="471F208E"/>
    <w:rsid w:val="473016F6"/>
    <w:rsid w:val="475278BE"/>
    <w:rsid w:val="4754394B"/>
    <w:rsid w:val="47680E90"/>
    <w:rsid w:val="47A07306"/>
    <w:rsid w:val="47DE1152"/>
    <w:rsid w:val="480212E4"/>
    <w:rsid w:val="4816511D"/>
    <w:rsid w:val="482965A2"/>
    <w:rsid w:val="482E1FB6"/>
    <w:rsid w:val="483671E0"/>
    <w:rsid w:val="48384D06"/>
    <w:rsid w:val="486C0E54"/>
    <w:rsid w:val="487A33DE"/>
    <w:rsid w:val="487A56A8"/>
    <w:rsid w:val="488064F5"/>
    <w:rsid w:val="489B7CBA"/>
    <w:rsid w:val="48C20A74"/>
    <w:rsid w:val="48F92D58"/>
    <w:rsid w:val="48FB5D34"/>
    <w:rsid w:val="493B5F8A"/>
    <w:rsid w:val="4977360C"/>
    <w:rsid w:val="499F0DB5"/>
    <w:rsid w:val="49A15FF9"/>
    <w:rsid w:val="4A0973D2"/>
    <w:rsid w:val="4A123335"/>
    <w:rsid w:val="4A2A4B22"/>
    <w:rsid w:val="4A3E412A"/>
    <w:rsid w:val="4A78352C"/>
    <w:rsid w:val="4A9B77CE"/>
    <w:rsid w:val="4AC46D25"/>
    <w:rsid w:val="4ADD1B95"/>
    <w:rsid w:val="4AE41175"/>
    <w:rsid w:val="4AE70928"/>
    <w:rsid w:val="4AF56EDE"/>
    <w:rsid w:val="4AFA6EB9"/>
    <w:rsid w:val="4B045373"/>
    <w:rsid w:val="4B0874C7"/>
    <w:rsid w:val="4B404E95"/>
    <w:rsid w:val="4B4B2968"/>
    <w:rsid w:val="4B7122DD"/>
    <w:rsid w:val="4B865D88"/>
    <w:rsid w:val="4B8A16F4"/>
    <w:rsid w:val="4B8E2E8F"/>
    <w:rsid w:val="4B952C62"/>
    <w:rsid w:val="4C276021"/>
    <w:rsid w:val="4C2832E3"/>
    <w:rsid w:val="4C3A4602"/>
    <w:rsid w:val="4C51283A"/>
    <w:rsid w:val="4C694B5C"/>
    <w:rsid w:val="4C752CF2"/>
    <w:rsid w:val="4C792459"/>
    <w:rsid w:val="4CC3062E"/>
    <w:rsid w:val="4CC44806"/>
    <w:rsid w:val="4CCC3C6F"/>
    <w:rsid w:val="4D090068"/>
    <w:rsid w:val="4D447DD6"/>
    <w:rsid w:val="4D556865"/>
    <w:rsid w:val="4D627200"/>
    <w:rsid w:val="4DAD5A9E"/>
    <w:rsid w:val="4DFB55DB"/>
    <w:rsid w:val="4DFC67D6"/>
    <w:rsid w:val="4E1A6C5C"/>
    <w:rsid w:val="4E1F0E8D"/>
    <w:rsid w:val="4E45017D"/>
    <w:rsid w:val="4E6C1FEA"/>
    <w:rsid w:val="4E9609D8"/>
    <w:rsid w:val="4E9C3B15"/>
    <w:rsid w:val="4EA330F5"/>
    <w:rsid w:val="4EA74993"/>
    <w:rsid w:val="4EB62E28"/>
    <w:rsid w:val="4F1F09CE"/>
    <w:rsid w:val="4F38383D"/>
    <w:rsid w:val="4F8D5360"/>
    <w:rsid w:val="4FB851EC"/>
    <w:rsid w:val="4FB858C2"/>
    <w:rsid w:val="4FD07F1A"/>
    <w:rsid w:val="4FEF572B"/>
    <w:rsid w:val="50056197"/>
    <w:rsid w:val="500B0F52"/>
    <w:rsid w:val="504D71B7"/>
    <w:rsid w:val="505226DD"/>
    <w:rsid w:val="506863A4"/>
    <w:rsid w:val="50901457"/>
    <w:rsid w:val="50A70C7B"/>
    <w:rsid w:val="50AF5D81"/>
    <w:rsid w:val="50D20600"/>
    <w:rsid w:val="50DC43E5"/>
    <w:rsid w:val="50E023DF"/>
    <w:rsid w:val="51200A2D"/>
    <w:rsid w:val="51442743"/>
    <w:rsid w:val="51534A93"/>
    <w:rsid w:val="518A6A6A"/>
    <w:rsid w:val="52C34FE7"/>
    <w:rsid w:val="52F97788"/>
    <w:rsid w:val="53004672"/>
    <w:rsid w:val="53547EF4"/>
    <w:rsid w:val="53AF7E46"/>
    <w:rsid w:val="53BD16D0"/>
    <w:rsid w:val="53BF0089"/>
    <w:rsid w:val="53D26EC5"/>
    <w:rsid w:val="53DF24DA"/>
    <w:rsid w:val="54130285"/>
    <w:rsid w:val="543C5567"/>
    <w:rsid w:val="54527048"/>
    <w:rsid w:val="547B6144"/>
    <w:rsid w:val="549A4653"/>
    <w:rsid w:val="54B6421E"/>
    <w:rsid w:val="54D132A6"/>
    <w:rsid w:val="553D7E00"/>
    <w:rsid w:val="55522248"/>
    <w:rsid w:val="556F5ADF"/>
    <w:rsid w:val="557C1FAA"/>
    <w:rsid w:val="55905020"/>
    <w:rsid w:val="559317CE"/>
    <w:rsid w:val="55945546"/>
    <w:rsid w:val="55B313A7"/>
    <w:rsid w:val="55C9229B"/>
    <w:rsid w:val="55F36710"/>
    <w:rsid w:val="55F835EC"/>
    <w:rsid w:val="56094A0A"/>
    <w:rsid w:val="56146E39"/>
    <w:rsid w:val="56222B52"/>
    <w:rsid w:val="562C1C22"/>
    <w:rsid w:val="565809C8"/>
    <w:rsid w:val="565F7902"/>
    <w:rsid w:val="566769BC"/>
    <w:rsid w:val="566776E3"/>
    <w:rsid w:val="56847368"/>
    <w:rsid w:val="56EE0863"/>
    <w:rsid w:val="56F42740"/>
    <w:rsid w:val="571B7CCD"/>
    <w:rsid w:val="571F5B19"/>
    <w:rsid w:val="572648C3"/>
    <w:rsid w:val="572D7A00"/>
    <w:rsid w:val="57437223"/>
    <w:rsid w:val="5789732C"/>
    <w:rsid w:val="57B95737"/>
    <w:rsid w:val="57DD623C"/>
    <w:rsid w:val="57E83927"/>
    <w:rsid w:val="58133FA8"/>
    <w:rsid w:val="58163563"/>
    <w:rsid w:val="581A61D6"/>
    <w:rsid w:val="58524426"/>
    <w:rsid w:val="588673C8"/>
    <w:rsid w:val="58E6430A"/>
    <w:rsid w:val="594C6863"/>
    <w:rsid w:val="595C281E"/>
    <w:rsid w:val="597436C4"/>
    <w:rsid w:val="5A67147B"/>
    <w:rsid w:val="5A8B33BB"/>
    <w:rsid w:val="5ABD7CBF"/>
    <w:rsid w:val="5AC51BF4"/>
    <w:rsid w:val="5AD7215D"/>
    <w:rsid w:val="5AD76600"/>
    <w:rsid w:val="5ADA7E9F"/>
    <w:rsid w:val="5B2857C8"/>
    <w:rsid w:val="5B674134"/>
    <w:rsid w:val="5B8A5421"/>
    <w:rsid w:val="5BCC2963"/>
    <w:rsid w:val="5BD64622"/>
    <w:rsid w:val="5BD71B75"/>
    <w:rsid w:val="5BF5573C"/>
    <w:rsid w:val="5C317F92"/>
    <w:rsid w:val="5C59404C"/>
    <w:rsid w:val="5C7B7882"/>
    <w:rsid w:val="5CD12A74"/>
    <w:rsid w:val="5CF05758"/>
    <w:rsid w:val="5CF34DFD"/>
    <w:rsid w:val="5D0134C1"/>
    <w:rsid w:val="5D0C00B7"/>
    <w:rsid w:val="5D2B313A"/>
    <w:rsid w:val="5D5576A8"/>
    <w:rsid w:val="5D7A07A9"/>
    <w:rsid w:val="5D8F60B9"/>
    <w:rsid w:val="5DA95161"/>
    <w:rsid w:val="5DBE5856"/>
    <w:rsid w:val="5DC34C1A"/>
    <w:rsid w:val="5DE74DAC"/>
    <w:rsid w:val="5DEE35FE"/>
    <w:rsid w:val="5DF04B89"/>
    <w:rsid w:val="5E07457B"/>
    <w:rsid w:val="5E1216FE"/>
    <w:rsid w:val="5E23736B"/>
    <w:rsid w:val="5E4E6BDA"/>
    <w:rsid w:val="5E620082"/>
    <w:rsid w:val="5E952446"/>
    <w:rsid w:val="5E987E55"/>
    <w:rsid w:val="5F0401A3"/>
    <w:rsid w:val="5F1C0A86"/>
    <w:rsid w:val="5F2931A3"/>
    <w:rsid w:val="5F32409F"/>
    <w:rsid w:val="5F434B00"/>
    <w:rsid w:val="5F793ABD"/>
    <w:rsid w:val="5F9F3465"/>
    <w:rsid w:val="5FBE1B3D"/>
    <w:rsid w:val="5FE418AB"/>
    <w:rsid w:val="5FF91265"/>
    <w:rsid w:val="602C5A37"/>
    <w:rsid w:val="60350FB3"/>
    <w:rsid w:val="60676998"/>
    <w:rsid w:val="606A770E"/>
    <w:rsid w:val="6090757D"/>
    <w:rsid w:val="60914864"/>
    <w:rsid w:val="60C35FB8"/>
    <w:rsid w:val="60DF1969"/>
    <w:rsid w:val="6109503A"/>
    <w:rsid w:val="614C5323"/>
    <w:rsid w:val="6162299C"/>
    <w:rsid w:val="61646714"/>
    <w:rsid w:val="61A62889"/>
    <w:rsid w:val="61F93300"/>
    <w:rsid w:val="62175534"/>
    <w:rsid w:val="62187A7A"/>
    <w:rsid w:val="623B2FDB"/>
    <w:rsid w:val="62555F5F"/>
    <w:rsid w:val="62774225"/>
    <w:rsid w:val="629D0130"/>
    <w:rsid w:val="62BB6808"/>
    <w:rsid w:val="62D41692"/>
    <w:rsid w:val="62F67840"/>
    <w:rsid w:val="63133F4E"/>
    <w:rsid w:val="6372595D"/>
    <w:rsid w:val="63BE035D"/>
    <w:rsid w:val="63D538F9"/>
    <w:rsid w:val="644D1F8D"/>
    <w:rsid w:val="644D7933"/>
    <w:rsid w:val="6502071E"/>
    <w:rsid w:val="65102E3B"/>
    <w:rsid w:val="658E3D60"/>
    <w:rsid w:val="65D57BE0"/>
    <w:rsid w:val="65D976D1"/>
    <w:rsid w:val="66014531"/>
    <w:rsid w:val="66134265"/>
    <w:rsid w:val="662E7893"/>
    <w:rsid w:val="6694184A"/>
    <w:rsid w:val="669B6734"/>
    <w:rsid w:val="66D71736"/>
    <w:rsid w:val="66EC3C72"/>
    <w:rsid w:val="670A5668"/>
    <w:rsid w:val="672E57FA"/>
    <w:rsid w:val="678138F7"/>
    <w:rsid w:val="67A555B6"/>
    <w:rsid w:val="68060525"/>
    <w:rsid w:val="68102537"/>
    <w:rsid w:val="68273FF7"/>
    <w:rsid w:val="68556DB7"/>
    <w:rsid w:val="687F0863"/>
    <w:rsid w:val="689E42BA"/>
    <w:rsid w:val="68EF0FB9"/>
    <w:rsid w:val="69152BD3"/>
    <w:rsid w:val="69594684"/>
    <w:rsid w:val="696F532F"/>
    <w:rsid w:val="69A04061"/>
    <w:rsid w:val="69BA15C7"/>
    <w:rsid w:val="69DC5A13"/>
    <w:rsid w:val="69ED660D"/>
    <w:rsid w:val="6A0E546F"/>
    <w:rsid w:val="6A333509"/>
    <w:rsid w:val="6A441904"/>
    <w:rsid w:val="6A611A43"/>
    <w:rsid w:val="6A624A2F"/>
    <w:rsid w:val="6A6534F3"/>
    <w:rsid w:val="6A696B49"/>
    <w:rsid w:val="6A7259FE"/>
    <w:rsid w:val="6AB271F3"/>
    <w:rsid w:val="6B7B4D86"/>
    <w:rsid w:val="6BC156E9"/>
    <w:rsid w:val="6BE704DA"/>
    <w:rsid w:val="6C411B2C"/>
    <w:rsid w:val="6C64027E"/>
    <w:rsid w:val="6C786FD5"/>
    <w:rsid w:val="6C7A503E"/>
    <w:rsid w:val="6C9A32AF"/>
    <w:rsid w:val="6CA43E69"/>
    <w:rsid w:val="6CAB3449"/>
    <w:rsid w:val="6CAE6A95"/>
    <w:rsid w:val="6CB0280D"/>
    <w:rsid w:val="6CD504C6"/>
    <w:rsid w:val="6CF941B4"/>
    <w:rsid w:val="6CFF6CC3"/>
    <w:rsid w:val="6D06067F"/>
    <w:rsid w:val="6D2E7C79"/>
    <w:rsid w:val="6D5238C5"/>
    <w:rsid w:val="6D994700"/>
    <w:rsid w:val="6DE54739"/>
    <w:rsid w:val="6DEE7A91"/>
    <w:rsid w:val="6F237630"/>
    <w:rsid w:val="6F2B6AC3"/>
    <w:rsid w:val="6F377216"/>
    <w:rsid w:val="6F3A67C0"/>
    <w:rsid w:val="6F4D6A39"/>
    <w:rsid w:val="6F6A1399"/>
    <w:rsid w:val="6F9D6689"/>
    <w:rsid w:val="70076BE8"/>
    <w:rsid w:val="700D274F"/>
    <w:rsid w:val="70787AE6"/>
    <w:rsid w:val="707B75D6"/>
    <w:rsid w:val="70C858E8"/>
    <w:rsid w:val="70EB02B8"/>
    <w:rsid w:val="713D263E"/>
    <w:rsid w:val="71570CCD"/>
    <w:rsid w:val="71D14BA1"/>
    <w:rsid w:val="71EC42E8"/>
    <w:rsid w:val="71F633B8"/>
    <w:rsid w:val="72480FA6"/>
    <w:rsid w:val="725F0F5E"/>
    <w:rsid w:val="727A6476"/>
    <w:rsid w:val="728F1117"/>
    <w:rsid w:val="72907369"/>
    <w:rsid w:val="7293486A"/>
    <w:rsid w:val="72B05EB6"/>
    <w:rsid w:val="72C15C7D"/>
    <w:rsid w:val="73721479"/>
    <w:rsid w:val="7378654A"/>
    <w:rsid w:val="738916A3"/>
    <w:rsid w:val="73AA26AC"/>
    <w:rsid w:val="73D97F55"/>
    <w:rsid w:val="74192952"/>
    <w:rsid w:val="742D7803"/>
    <w:rsid w:val="74353333"/>
    <w:rsid w:val="74806652"/>
    <w:rsid w:val="74934EEE"/>
    <w:rsid w:val="74BE7A92"/>
    <w:rsid w:val="74F3598D"/>
    <w:rsid w:val="752866D8"/>
    <w:rsid w:val="755A3C5E"/>
    <w:rsid w:val="756B5E6B"/>
    <w:rsid w:val="757C3BD5"/>
    <w:rsid w:val="75DF0D7F"/>
    <w:rsid w:val="75EA6D90"/>
    <w:rsid w:val="75F36245"/>
    <w:rsid w:val="762302DC"/>
    <w:rsid w:val="7662101C"/>
    <w:rsid w:val="768D7369"/>
    <w:rsid w:val="76BC4701"/>
    <w:rsid w:val="76CA3D4A"/>
    <w:rsid w:val="76DB2A9A"/>
    <w:rsid w:val="76E23133"/>
    <w:rsid w:val="771B3EF6"/>
    <w:rsid w:val="7723186A"/>
    <w:rsid w:val="7735228D"/>
    <w:rsid w:val="776E5551"/>
    <w:rsid w:val="778B5DEA"/>
    <w:rsid w:val="781520BE"/>
    <w:rsid w:val="783B3932"/>
    <w:rsid w:val="78434E7D"/>
    <w:rsid w:val="78484242"/>
    <w:rsid w:val="78CF4963"/>
    <w:rsid w:val="78FE489F"/>
    <w:rsid w:val="793F73F3"/>
    <w:rsid w:val="795D1F6F"/>
    <w:rsid w:val="7963542C"/>
    <w:rsid w:val="796B643A"/>
    <w:rsid w:val="79770503"/>
    <w:rsid w:val="79823784"/>
    <w:rsid w:val="79A25A0C"/>
    <w:rsid w:val="79AE27CB"/>
    <w:rsid w:val="79BD7B3E"/>
    <w:rsid w:val="79E306C6"/>
    <w:rsid w:val="79EE2BC7"/>
    <w:rsid w:val="7A0A223C"/>
    <w:rsid w:val="7A107FD0"/>
    <w:rsid w:val="7ABB5E67"/>
    <w:rsid w:val="7AE2272C"/>
    <w:rsid w:val="7AE30252"/>
    <w:rsid w:val="7AF2308B"/>
    <w:rsid w:val="7AF56038"/>
    <w:rsid w:val="7B102F87"/>
    <w:rsid w:val="7B3867F0"/>
    <w:rsid w:val="7B4927AB"/>
    <w:rsid w:val="7B9A5ABC"/>
    <w:rsid w:val="7BD227A0"/>
    <w:rsid w:val="7BE81FC4"/>
    <w:rsid w:val="7C7578B3"/>
    <w:rsid w:val="7C7F13CE"/>
    <w:rsid w:val="7CA22F04"/>
    <w:rsid w:val="7CED360A"/>
    <w:rsid w:val="7D05590D"/>
    <w:rsid w:val="7D056BA5"/>
    <w:rsid w:val="7D20578D"/>
    <w:rsid w:val="7D2D3A06"/>
    <w:rsid w:val="7D3E2951"/>
    <w:rsid w:val="7D5316BF"/>
    <w:rsid w:val="7D5611AF"/>
    <w:rsid w:val="7D9D293A"/>
    <w:rsid w:val="7E040C0B"/>
    <w:rsid w:val="7E132BFC"/>
    <w:rsid w:val="7E2D3A26"/>
    <w:rsid w:val="7E484F9C"/>
    <w:rsid w:val="7E9E7F46"/>
    <w:rsid w:val="7EA9221D"/>
    <w:rsid w:val="7EDB5E10"/>
    <w:rsid w:val="7F2C0419"/>
    <w:rsid w:val="7F3602D3"/>
    <w:rsid w:val="7F4E1290"/>
    <w:rsid w:val="7F572FBC"/>
    <w:rsid w:val="7F587460"/>
    <w:rsid w:val="7F62208D"/>
    <w:rsid w:val="7FA31B7F"/>
    <w:rsid w:val="7FAE496D"/>
    <w:rsid w:val="7FDA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spacing w:line="440" w:lineRule="exact"/>
      <w:outlineLvl w:val="3"/>
    </w:pPr>
    <w:rPr>
      <w:rFonts w:ascii="Arial" w:hAnsi="Arial" w:eastAsia="宋体"/>
      <w:spacing w:val="-4"/>
      <w:kern w:val="2"/>
      <w:sz w:val="24"/>
      <w:szCs w:val="24"/>
      <w:lang w:val="en-US" w:eastAsia="zh-CN" w:bidi="ar-SA"/>
    </w:rPr>
  </w:style>
  <w:style w:type="paragraph" w:styleId="6">
    <w:name w:val="heading 8"/>
    <w:basedOn w:val="1"/>
    <w:next w:val="1"/>
    <w:autoRedefine/>
    <w:qFormat/>
    <w:uiPriority w:val="0"/>
    <w:pPr>
      <w:numPr>
        <w:ilvl w:val="7"/>
        <w:numId w:val="1"/>
      </w:numPr>
      <w:outlineLvl w:val="7"/>
    </w:pPr>
    <w:rPr>
      <w:rFonts w:ascii="Arial" w:hAnsi="Arial"/>
      <w:kern w:val="2"/>
      <w:sz w:val="21"/>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annotation text"/>
    <w:basedOn w:val="1"/>
    <w:autoRedefine/>
    <w:semiHidden/>
    <w:unhideWhenUsed/>
    <w:qFormat/>
    <w:uiPriority w:val="99"/>
    <w:pPr>
      <w:jc w:val="left"/>
    </w:pPr>
  </w:style>
  <w:style w:type="paragraph" w:styleId="10">
    <w:name w:val="Body Text"/>
    <w:basedOn w:val="1"/>
    <w:autoRedefine/>
    <w:qFormat/>
    <w:uiPriority w:val="0"/>
    <w:pPr>
      <w:autoSpaceDE w:val="0"/>
      <w:autoSpaceDN w:val="0"/>
      <w:jc w:val="left"/>
    </w:pPr>
    <w:rPr>
      <w:rFonts w:ascii="Noto Sans Mono CJK JP Regular" w:hAnsi="Noto Sans Mono CJK JP Regular" w:cs="Noto Sans Mono CJK JP Regular"/>
      <w:kern w:val="0"/>
      <w:sz w:val="22"/>
      <w:lang w:eastAsia="en-US"/>
    </w:rPr>
  </w:style>
  <w:style w:type="paragraph" w:styleId="11">
    <w:name w:val="Body Text Indent"/>
    <w:basedOn w:val="1"/>
    <w:next w:val="1"/>
    <w:autoRedefine/>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12">
    <w:name w:val="toc 3"/>
    <w:basedOn w:val="1"/>
    <w:next w:val="1"/>
    <w:autoRedefine/>
    <w:qFormat/>
    <w:uiPriority w:val="0"/>
    <w:pPr>
      <w:ind w:left="840" w:leftChars="400"/>
    </w:pPr>
  </w:style>
  <w:style w:type="paragraph" w:styleId="13">
    <w:name w:val="Balloon Text"/>
    <w:basedOn w:val="1"/>
    <w:autoRedefine/>
    <w:unhideWhenUsed/>
    <w:qFormat/>
    <w:uiPriority w:val="99"/>
    <w:pPr>
      <w:spacing w:line="240" w:lineRule="auto"/>
    </w:pPr>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spacing w:beforeAutospacing="1" w:afterAutospacing="1"/>
      <w:jc w:val="left"/>
    </w:pPr>
    <w:rPr>
      <w:kern w:val="0"/>
      <w:sz w:val="24"/>
    </w:rPr>
  </w:style>
  <w:style w:type="paragraph" w:styleId="18">
    <w:name w:val="Body Text First Indent 2"/>
    <w:basedOn w:val="11"/>
    <w:autoRedefine/>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style>
  <w:style w:type="paragraph" w:customStyle="1" w:styleId="2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样式 标题 3 + (中文) 黑体 小四 非加粗 段前: 7.8 磅 段后: 0 磅 行距: 固定值 20 磅"/>
    <w:basedOn w:val="4"/>
    <w:autoRedefine/>
    <w:qFormat/>
    <w:uiPriority w:val="0"/>
    <w:pPr>
      <w:tabs>
        <w:tab w:val="left" w:pos="630"/>
      </w:tabs>
      <w:snapToGrid/>
      <w:spacing w:before="0" w:line="400" w:lineRule="exact"/>
    </w:pPr>
    <w:rPr>
      <w:rFonts w:ascii="宋体" w:hAnsi="宋体" w:eastAsia="黑体" w:cs="宋体"/>
      <w:sz w:val="24"/>
      <w:lang w:bidi="ar-SA"/>
    </w:rPr>
  </w:style>
  <w:style w:type="paragraph" w:customStyle="1" w:styleId="25">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6">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7">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8">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9">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30">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31">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2">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5">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6">
    <w:name w:val="null3"/>
    <w:autoRedefine/>
    <w:qFormat/>
    <w:uiPriority w:val="0"/>
    <w:rPr>
      <w:rFonts w:hint="eastAsia" w:ascii="Calibri" w:hAnsi="Calibri" w:eastAsia="宋体" w:cs="Times New Roman"/>
      <w:lang w:val="en-US" w:eastAsia="zh-Hans" w:bidi="ar-SA"/>
    </w:rPr>
  </w:style>
  <w:style w:type="character" w:customStyle="1" w:styleId="37">
    <w:name w:val="正文文本缩进 Char"/>
    <w:basedOn w:val="21"/>
    <w:autoRedefine/>
    <w:qFormat/>
    <w:uiPriority w:val="0"/>
    <w:rPr>
      <w:rFonts w:eastAsia="宋体"/>
      <w:kern w:val="2"/>
      <w:sz w:val="21"/>
      <w:lang w:val="en-US" w:eastAsia="zh-CN" w:bidi="ar-SA"/>
    </w:rPr>
  </w:style>
  <w:style w:type="character" w:customStyle="1" w:styleId="38">
    <w:name w:val="样式 宋体 四号"/>
    <w:basedOn w:val="21"/>
    <w:autoRedefine/>
    <w:qFormat/>
    <w:uiPriority w:val="0"/>
    <w:rPr>
      <w:rFonts w:ascii="Arial" w:hAnsi="Arial" w:eastAsia="宋体"/>
      <w:sz w:val="21"/>
    </w:rPr>
  </w:style>
  <w:style w:type="character" w:customStyle="1" w:styleId="39">
    <w:name w:val="NormalCharacter"/>
    <w:autoRedefine/>
    <w:semiHidden/>
    <w:qFormat/>
    <w:uiPriority w:val="0"/>
  </w:style>
  <w:style w:type="table" w:customStyle="1" w:styleId="40">
    <w:name w:val="Table Normal"/>
    <w:autoRedefine/>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27319</Words>
  <Characters>29390</Characters>
  <Lines>0</Lines>
  <Paragraphs>0</Paragraphs>
  <TotalTime>9</TotalTime>
  <ScaleCrop>false</ScaleCrop>
  <LinksUpToDate>false</LinksUpToDate>
  <CharactersWithSpaces>32416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2020-06-20T04:59:00Z</dcterms:created>
  <dc:creator>月光灬Dream</dc:creator>
  <cp:lastModifiedBy>222</cp:lastModifiedBy>
  <cp:lastPrinted>2024-05-22T02:32:00Z</cp:lastPrinted>
  <dcterms:modified xsi:type="dcterms:W3CDTF">2024-05-22T09:01:55Z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656D2140FEF54229BFFDDEEAC7A30DD9_12</vt:lpwstr>
  </property>
</Properties>
</file>